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8C1" w:rsidRPr="008577B4" w:rsidRDefault="004838C1" w:rsidP="00084EEE">
      <w:pPr>
        <w:spacing w:after="0" w:line="480" w:lineRule="auto"/>
        <w:jc w:val="center"/>
        <w:rPr>
          <w:rFonts w:ascii="Times New Roman" w:hAnsi="Times New Roman" w:cs="Times New Roman"/>
          <w:b/>
          <w:sz w:val="24"/>
          <w:szCs w:val="24"/>
        </w:rPr>
      </w:pPr>
      <w:r w:rsidRPr="008577B4">
        <w:rPr>
          <w:rFonts w:ascii="Times New Roman" w:hAnsi="Times New Roman" w:cs="Times New Roman"/>
          <w:b/>
          <w:sz w:val="24"/>
          <w:szCs w:val="24"/>
        </w:rPr>
        <w:t>BAB IV</w:t>
      </w:r>
    </w:p>
    <w:p w:rsidR="004838C1" w:rsidRPr="008577B4" w:rsidRDefault="004838C1" w:rsidP="00084EEE">
      <w:pPr>
        <w:spacing w:after="0" w:line="480" w:lineRule="auto"/>
        <w:jc w:val="center"/>
        <w:rPr>
          <w:rFonts w:ascii="Times New Roman" w:hAnsi="Times New Roman" w:cs="Times New Roman"/>
          <w:b/>
          <w:sz w:val="24"/>
          <w:szCs w:val="24"/>
        </w:rPr>
      </w:pPr>
      <w:r w:rsidRPr="008577B4">
        <w:rPr>
          <w:rFonts w:ascii="Times New Roman" w:hAnsi="Times New Roman" w:cs="Times New Roman"/>
          <w:b/>
          <w:sz w:val="24"/>
          <w:szCs w:val="24"/>
        </w:rPr>
        <w:t>HASIL PENELITIAN DAN PEMBAHASAN</w:t>
      </w:r>
    </w:p>
    <w:p w:rsidR="004838C1" w:rsidRPr="008577B4" w:rsidRDefault="004838C1" w:rsidP="00084EEE">
      <w:pPr>
        <w:spacing w:after="0" w:line="480" w:lineRule="auto"/>
        <w:jc w:val="both"/>
        <w:rPr>
          <w:rFonts w:ascii="Times New Roman" w:hAnsi="Times New Roman" w:cs="Times New Roman"/>
          <w:b/>
          <w:sz w:val="24"/>
          <w:szCs w:val="24"/>
        </w:rPr>
      </w:pPr>
    </w:p>
    <w:p w:rsidR="004838C1" w:rsidRPr="008577B4" w:rsidRDefault="004838C1" w:rsidP="00084EEE">
      <w:pPr>
        <w:spacing w:after="0" w:line="480" w:lineRule="auto"/>
        <w:jc w:val="both"/>
        <w:rPr>
          <w:rFonts w:ascii="Times New Roman" w:hAnsi="Times New Roman" w:cs="Times New Roman"/>
          <w:b/>
          <w:sz w:val="24"/>
          <w:szCs w:val="24"/>
        </w:rPr>
      </w:pPr>
      <w:r w:rsidRPr="008577B4">
        <w:rPr>
          <w:rFonts w:ascii="Times New Roman" w:hAnsi="Times New Roman" w:cs="Times New Roman"/>
          <w:b/>
          <w:sz w:val="24"/>
          <w:szCs w:val="24"/>
        </w:rPr>
        <w:t>4.1</w:t>
      </w:r>
      <w:r w:rsidRPr="008577B4">
        <w:rPr>
          <w:rFonts w:ascii="Times New Roman" w:hAnsi="Times New Roman" w:cs="Times New Roman"/>
          <w:b/>
          <w:sz w:val="24"/>
          <w:szCs w:val="24"/>
        </w:rPr>
        <w:tab/>
        <w:t>Hasil Penelitian</w:t>
      </w:r>
    </w:p>
    <w:p w:rsidR="004838C1" w:rsidRDefault="004838C1"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ab/>
        <w:t xml:space="preserve">Penelitian </w:t>
      </w:r>
      <w:r w:rsidR="00F5574E">
        <w:rPr>
          <w:rFonts w:ascii="Times New Roman" w:hAnsi="Times New Roman" w:cs="Times New Roman"/>
          <w:sz w:val="24"/>
          <w:szCs w:val="24"/>
        </w:rPr>
        <w:t xml:space="preserve">ini dilakukan pada PT. Bank Bjb Syariah </w:t>
      </w:r>
      <w:r w:rsidR="00A00565">
        <w:rPr>
          <w:rFonts w:ascii="Times New Roman" w:hAnsi="Times New Roman" w:cs="Times New Roman"/>
          <w:sz w:val="24"/>
          <w:szCs w:val="24"/>
        </w:rPr>
        <w:t xml:space="preserve">dengan menggunakan data tahunan </w:t>
      </w:r>
      <w:r w:rsidR="00F5574E">
        <w:rPr>
          <w:rFonts w:ascii="Times New Roman" w:hAnsi="Times New Roman" w:cs="Times New Roman"/>
          <w:sz w:val="24"/>
          <w:szCs w:val="24"/>
        </w:rPr>
        <w:t>selama 6 periode, yaitu periode tahun 2010 hingga tah</w:t>
      </w:r>
      <w:r w:rsidR="00A00565">
        <w:rPr>
          <w:rFonts w:ascii="Times New Roman" w:hAnsi="Times New Roman" w:cs="Times New Roman"/>
          <w:sz w:val="24"/>
          <w:szCs w:val="24"/>
        </w:rPr>
        <w:t>un 2015</w:t>
      </w:r>
      <w:r w:rsidR="00F5574E">
        <w:rPr>
          <w:rFonts w:ascii="Times New Roman" w:hAnsi="Times New Roman" w:cs="Times New Roman"/>
          <w:sz w:val="24"/>
          <w:szCs w:val="24"/>
        </w:rPr>
        <w:t xml:space="preserve">. Sebelum membahas pengaruh pembiayaan Kepemilikan Rumah (KPR) </w:t>
      </w:r>
      <w:r w:rsidR="00F5574E">
        <w:rPr>
          <w:rFonts w:ascii="Times New Roman" w:hAnsi="Times New Roman" w:cs="Times New Roman"/>
          <w:i/>
          <w:sz w:val="24"/>
          <w:szCs w:val="24"/>
        </w:rPr>
        <w:t>murabahah</w:t>
      </w:r>
      <w:r w:rsidR="00F5574E">
        <w:rPr>
          <w:rFonts w:ascii="Times New Roman" w:hAnsi="Times New Roman" w:cs="Times New Roman"/>
          <w:sz w:val="24"/>
          <w:szCs w:val="24"/>
        </w:rPr>
        <w:t xml:space="preserve"> dan NPF terhadap Profitabilitas (ROA), terlebih dahulu akan dibahas perkembangan Kepemilikan Rumah (KPR) </w:t>
      </w:r>
      <w:r w:rsidR="00F5574E">
        <w:rPr>
          <w:rFonts w:ascii="Times New Roman" w:hAnsi="Times New Roman" w:cs="Times New Roman"/>
          <w:i/>
          <w:sz w:val="24"/>
          <w:szCs w:val="24"/>
        </w:rPr>
        <w:t>murabahah,</w:t>
      </w:r>
      <w:r w:rsidR="00F5574E">
        <w:rPr>
          <w:rFonts w:ascii="Times New Roman" w:hAnsi="Times New Roman" w:cs="Times New Roman"/>
          <w:sz w:val="24"/>
          <w:szCs w:val="24"/>
        </w:rPr>
        <w:t xml:space="preserve"> NPF, dan ROA PT. Bank Bjb Syariah selama periode 2010 hingga 2015. Data yang digunakan dan dianalisis dalam penelitian ini berupa data sekunder, karena merupakan data yang dikumpulkan oleh PT. Bank Bjb Syariah dan telah dipublikasikan.</w:t>
      </w:r>
    </w:p>
    <w:p w:rsidR="00CB2071" w:rsidRDefault="00CB2071" w:rsidP="00084EEE">
      <w:pPr>
        <w:spacing w:after="0" w:line="480" w:lineRule="auto"/>
        <w:jc w:val="both"/>
        <w:rPr>
          <w:rFonts w:ascii="Times New Roman" w:hAnsi="Times New Roman" w:cs="Times New Roman"/>
          <w:sz w:val="24"/>
          <w:szCs w:val="24"/>
        </w:rPr>
      </w:pPr>
    </w:p>
    <w:p w:rsidR="00CB2071" w:rsidRPr="00CB2071" w:rsidRDefault="00CB2071" w:rsidP="00CB2071">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4.1.1</w:t>
      </w:r>
      <w:r>
        <w:rPr>
          <w:rFonts w:ascii="Times New Roman" w:hAnsi="Times New Roman" w:cs="Times New Roman"/>
          <w:b/>
          <w:sz w:val="24"/>
          <w:szCs w:val="24"/>
        </w:rPr>
        <w:tab/>
        <w:t xml:space="preserve">Perkembangan Pembiayaan Kepemilikan Rumah (KPR) </w:t>
      </w:r>
      <w:r>
        <w:rPr>
          <w:rFonts w:ascii="Times New Roman" w:hAnsi="Times New Roman" w:cs="Times New Roman"/>
          <w:b/>
          <w:i/>
          <w:sz w:val="24"/>
          <w:szCs w:val="24"/>
        </w:rPr>
        <w:t>Murabahah</w:t>
      </w:r>
      <w:r>
        <w:rPr>
          <w:rFonts w:ascii="Times New Roman" w:hAnsi="Times New Roman" w:cs="Times New Roman"/>
          <w:b/>
          <w:sz w:val="24"/>
          <w:szCs w:val="24"/>
        </w:rPr>
        <w:t xml:space="preserve"> pada PT. Bank Bjb Syariah</w:t>
      </w:r>
      <w:r w:rsidR="00B95142">
        <w:rPr>
          <w:rFonts w:ascii="Times New Roman" w:hAnsi="Times New Roman" w:cs="Times New Roman"/>
          <w:b/>
          <w:sz w:val="24"/>
          <w:szCs w:val="24"/>
        </w:rPr>
        <w:t xml:space="preserve"> 2010-2</w:t>
      </w:r>
      <w:r w:rsidR="000B6F8D">
        <w:rPr>
          <w:rFonts w:ascii="Times New Roman" w:hAnsi="Times New Roman" w:cs="Times New Roman"/>
          <w:b/>
          <w:sz w:val="24"/>
          <w:szCs w:val="24"/>
        </w:rPr>
        <w:t>0</w:t>
      </w:r>
      <w:r w:rsidR="00B95142">
        <w:rPr>
          <w:rFonts w:ascii="Times New Roman" w:hAnsi="Times New Roman" w:cs="Times New Roman"/>
          <w:b/>
          <w:sz w:val="24"/>
          <w:szCs w:val="24"/>
        </w:rPr>
        <w:t>15</w:t>
      </w:r>
    </w:p>
    <w:p w:rsidR="00CB2071" w:rsidRDefault="00CB2071" w:rsidP="00084EE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Untuk mengetahui perkembangan pembiayaan Kepemilikan Rumah (KPR)</w:t>
      </w:r>
      <w:r>
        <w:rPr>
          <w:rFonts w:ascii="Times New Roman" w:hAnsi="Times New Roman" w:cs="Times New Roman"/>
          <w:i/>
          <w:sz w:val="24"/>
          <w:szCs w:val="24"/>
        </w:rPr>
        <w:t xml:space="preserve"> Murabahah</w:t>
      </w:r>
      <w:r>
        <w:rPr>
          <w:rFonts w:ascii="Times New Roman" w:hAnsi="Times New Roman" w:cs="Times New Roman"/>
          <w:sz w:val="24"/>
          <w:szCs w:val="24"/>
        </w:rPr>
        <w:t xml:space="preserve"> pada PT. Bank Bjb Syariah dapat diperoleh dari laporan keuangan yang telah dipublikasikan melalui situs </w:t>
      </w:r>
      <w:hyperlink r:id="rId9" w:history="1">
        <w:r w:rsidRPr="00626AD0">
          <w:rPr>
            <w:rStyle w:val="Hyperlink"/>
            <w:rFonts w:ascii="Times New Roman" w:hAnsi="Times New Roman" w:cs="Times New Roman"/>
            <w:sz w:val="24"/>
            <w:szCs w:val="24"/>
          </w:rPr>
          <w:t>www.bjbsyariah.co.id</w:t>
        </w:r>
      </w:hyperlink>
      <w:r>
        <w:rPr>
          <w:rFonts w:ascii="Times New Roman" w:hAnsi="Times New Roman" w:cs="Times New Roman"/>
          <w:sz w:val="24"/>
          <w:szCs w:val="24"/>
        </w:rPr>
        <w:t xml:space="preserve">. Laporan keuangan ini dapat mencerminkan perkembangan bank tersebut selama periode tertentu. Dalam penelitian ini, data yang diperoleh adalah pembiayaan Kepemilikan Rumah (KPR) </w:t>
      </w:r>
      <w:r>
        <w:rPr>
          <w:rFonts w:ascii="Times New Roman" w:hAnsi="Times New Roman" w:cs="Times New Roman"/>
          <w:i/>
          <w:sz w:val="24"/>
          <w:szCs w:val="24"/>
        </w:rPr>
        <w:t>Murabahah</w:t>
      </w:r>
      <w:r>
        <w:rPr>
          <w:rFonts w:ascii="Times New Roman" w:hAnsi="Times New Roman" w:cs="Times New Roman"/>
          <w:sz w:val="24"/>
          <w:szCs w:val="24"/>
        </w:rPr>
        <w:t xml:space="preserve"> selama periode tahun 2010 hingga tahun 2015.</w:t>
      </w:r>
    </w:p>
    <w:p w:rsidR="00CB2071" w:rsidRDefault="00CB2071" w:rsidP="00084EE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Perkembangan pembiayaan Kepemilikan Rumah (KPR) </w:t>
      </w:r>
      <w:r>
        <w:rPr>
          <w:rFonts w:ascii="Times New Roman" w:hAnsi="Times New Roman" w:cs="Times New Roman"/>
          <w:i/>
          <w:sz w:val="24"/>
          <w:szCs w:val="24"/>
        </w:rPr>
        <w:t xml:space="preserve">Murabahah </w:t>
      </w:r>
      <w:r>
        <w:rPr>
          <w:rFonts w:ascii="Times New Roman" w:hAnsi="Times New Roman" w:cs="Times New Roman"/>
          <w:sz w:val="24"/>
          <w:szCs w:val="24"/>
        </w:rPr>
        <w:t>pada PT. Bank Bjb Syariah selama periode tahun 2010 hingga tahun 2015 dapat dilihat pada tabel 4.1.</w:t>
      </w:r>
    </w:p>
    <w:p w:rsidR="00CB2071" w:rsidRDefault="00CB2071" w:rsidP="00084EEE">
      <w:pPr>
        <w:spacing w:after="0" w:line="480" w:lineRule="auto"/>
        <w:jc w:val="both"/>
        <w:rPr>
          <w:rFonts w:ascii="Times New Roman" w:hAnsi="Times New Roman" w:cs="Times New Roman"/>
          <w:sz w:val="24"/>
          <w:szCs w:val="24"/>
        </w:rPr>
      </w:pPr>
    </w:p>
    <w:p w:rsidR="004838C1" w:rsidRDefault="00CB2071" w:rsidP="00CB207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4.1</w:t>
      </w:r>
    </w:p>
    <w:p w:rsidR="00CB2071" w:rsidRDefault="00CB2071" w:rsidP="00CB2071">
      <w:pPr>
        <w:spacing w:after="0" w:line="480" w:lineRule="auto"/>
        <w:jc w:val="center"/>
        <w:rPr>
          <w:rFonts w:ascii="Times New Roman" w:hAnsi="Times New Roman" w:cs="Times New Roman"/>
          <w:b/>
          <w:i/>
          <w:sz w:val="24"/>
          <w:szCs w:val="24"/>
        </w:rPr>
      </w:pPr>
      <w:r>
        <w:rPr>
          <w:rFonts w:ascii="Times New Roman" w:hAnsi="Times New Roman" w:cs="Times New Roman"/>
          <w:b/>
          <w:sz w:val="24"/>
          <w:szCs w:val="24"/>
        </w:rPr>
        <w:t xml:space="preserve">Perkembangan Pembiayaan Kepemilikan Rumah (KPR) </w:t>
      </w:r>
      <w:r>
        <w:rPr>
          <w:rFonts w:ascii="Times New Roman" w:hAnsi="Times New Roman" w:cs="Times New Roman"/>
          <w:b/>
          <w:i/>
          <w:sz w:val="24"/>
          <w:szCs w:val="24"/>
        </w:rPr>
        <w:t>Murabahah</w:t>
      </w:r>
    </w:p>
    <w:p w:rsidR="00CB2071" w:rsidRDefault="00CB2071" w:rsidP="00CB207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PT. Bank Bjb Syariah</w:t>
      </w:r>
      <w:r w:rsidR="001129FC">
        <w:rPr>
          <w:rFonts w:ascii="Times New Roman" w:hAnsi="Times New Roman" w:cs="Times New Roman"/>
          <w:b/>
          <w:sz w:val="24"/>
          <w:szCs w:val="24"/>
        </w:rPr>
        <w:t xml:space="preserve"> Periode Tahun 2010-2015</w:t>
      </w:r>
    </w:p>
    <w:p w:rsidR="001129FC" w:rsidRDefault="001129FC" w:rsidP="00CB207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(Dalam Jutaan)</w:t>
      </w:r>
    </w:p>
    <w:tbl>
      <w:tblPr>
        <w:tblStyle w:val="TableGrid"/>
        <w:tblpPr w:leftFromText="180" w:rightFromText="180" w:vertAnchor="text" w:horzAnchor="margin" w:tblpXSpec="center" w:tblpY="1"/>
        <w:tblW w:w="0" w:type="auto"/>
        <w:tblLook w:val="04A0" w:firstRow="1" w:lastRow="0" w:firstColumn="1" w:lastColumn="0" w:noHBand="0" w:noVBand="1"/>
      </w:tblPr>
      <w:tblGrid>
        <w:gridCol w:w="1648"/>
        <w:gridCol w:w="1878"/>
        <w:gridCol w:w="1958"/>
        <w:gridCol w:w="1618"/>
      </w:tblGrid>
      <w:tr w:rsidR="00551D66" w:rsidRPr="008577B4" w:rsidTr="00551D66">
        <w:trPr>
          <w:trHeight w:val="1129"/>
        </w:trPr>
        <w:tc>
          <w:tcPr>
            <w:tcW w:w="1648" w:type="dxa"/>
          </w:tcPr>
          <w:p w:rsidR="00551D66" w:rsidRPr="008577B4" w:rsidRDefault="00551D66" w:rsidP="001129FC">
            <w:pPr>
              <w:spacing w:after="0" w:line="480" w:lineRule="auto"/>
              <w:jc w:val="center"/>
              <w:rPr>
                <w:rFonts w:ascii="Times New Roman" w:hAnsi="Times New Roman" w:cs="Times New Roman"/>
                <w:sz w:val="24"/>
                <w:szCs w:val="24"/>
              </w:rPr>
            </w:pPr>
            <w:r w:rsidRPr="008577B4">
              <w:rPr>
                <w:rFonts w:ascii="Times New Roman" w:hAnsi="Times New Roman" w:cs="Times New Roman"/>
                <w:sz w:val="24"/>
                <w:szCs w:val="24"/>
              </w:rPr>
              <w:t>Tahun</w:t>
            </w:r>
          </w:p>
        </w:tc>
        <w:tc>
          <w:tcPr>
            <w:tcW w:w="1878" w:type="dxa"/>
          </w:tcPr>
          <w:p w:rsidR="00551D66" w:rsidRPr="008577B4" w:rsidRDefault="00551D6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K</w:t>
            </w:r>
            <w:r w:rsidRPr="008577B4">
              <w:rPr>
                <w:rFonts w:ascii="Times New Roman" w:hAnsi="Times New Roman" w:cs="Times New Roman"/>
                <w:sz w:val="24"/>
                <w:szCs w:val="24"/>
              </w:rPr>
              <w:t>e</w:t>
            </w:r>
            <w:r>
              <w:rPr>
                <w:rFonts w:ascii="Times New Roman" w:hAnsi="Times New Roman" w:cs="Times New Roman"/>
                <w:sz w:val="24"/>
                <w:szCs w:val="24"/>
              </w:rPr>
              <w:t>pe</w:t>
            </w:r>
            <w:r w:rsidRPr="008577B4">
              <w:rPr>
                <w:rFonts w:ascii="Times New Roman" w:hAnsi="Times New Roman" w:cs="Times New Roman"/>
                <w:sz w:val="24"/>
                <w:szCs w:val="24"/>
              </w:rPr>
              <w:t>milikan Rumah (PPR)</w:t>
            </w:r>
          </w:p>
          <w:p w:rsidR="00551D66" w:rsidRPr="008577B4" w:rsidRDefault="00551D66" w:rsidP="001129FC">
            <w:pPr>
              <w:spacing w:after="0" w:line="480" w:lineRule="auto"/>
              <w:jc w:val="center"/>
              <w:rPr>
                <w:rFonts w:ascii="Times New Roman" w:hAnsi="Times New Roman" w:cs="Times New Roman"/>
                <w:sz w:val="24"/>
                <w:szCs w:val="24"/>
              </w:rPr>
            </w:pPr>
            <w:r w:rsidRPr="008577B4">
              <w:rPr>
                <w:rFonts w:ascii="Times New Roman" w:hAnsi="Times New Roman" w:cs="Times New Roman"/>
                <w:sz w:val="24"/>
                <w:szCs w:val="24"/>
              </w:rPr>
              <w:t>(Jutaan Rupiah)</w:t>
            </w:r>
          </w:p>
        </w:tc>
        <w:tc>
          <w:tcPr>
            <w:tcW w:w="1958" w:type="dxa"/>
          </w:tcPr>
          <w:p w:rsidR="00D4575F" w:rsidRDefault="00551D66" w:rsidP="001129FC">
            <w:pPr>
              <w:spacing w:after="0" w:line="480" w:lineRule="auto"/>
              <w:jc w:val="center"/>
              <w:rPr>
                <w:rFonts w:ascii="Times New Roman" w:hAnsi="Times New Roman" w:cs="Times New Roman"/>
                <w:sz w:val="24"/>
                <w:szCs w:val="24"/>
                <w:lang w:val="en-US"/>
              </w:rPr>
            </w:pPr>
            <w:r w:rsidRPr="008577B4">
              <w:rPr>
                <w:rFonts w:ascii="Times New Roman" w:hAnsi="Times New Roman" w:cs="Times New Roman"/>
                <w:sz w:val="24"/>
                <w:szCs w:val="24"/>
              </w:rPr>
              <w:t>Perkembangan</w:t>
            </w:r>
          </w:p>
          <w:p w:rsidR="00551D66" w:rsidRPr="008577B4" w:rsidRDefault="00D4575F"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lang w:val="en-US"/>
              </w:rPr>
              <w:t>( jutaan rupiah)</w:t>
            </w:r>
            <w:r w:rsidR="00551D66" w:rsidRPr="008577B4">
              <w:rPr>
                <w:rFonts w:ascii="Times New Roman" w:hAnsi="Times New Roman" w:cs="Times New Roman"/>
                <w:sz w:val="24"/>
                <w:szCs w:val="24"/>
              </w:rPr>
              <w:t xml:space="preserve"> </w:t>
            </w:r>
          </w:p>
        </w:tc>
        <w:tc>
          <w:tcPr>
            <w:tcW w:w="1618" w:type="dxa"/>
          </w:tcPr>
          <w:p w:rsidR="00551D66" w:rsidRPr="008577B4" w:rsidRDefault="00551D6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Presentase (%)</w:t>
            </w:r>
          </w:p>
        </w:tc>
      </w:tr>
      <w:tr w:rsidR="00551D66" w:rsidRPr="008577B4" w:rsidTr="00551D66">
        <w:trPr>
          <w:trHeight w:val="379"/>
        </w:trPr>
        <w:tc>
          <w:tcPr>
            <w:tcW w:w="1648" w:type="dxa"/>
          </w:tcPr>
          <w:p w:rsidR="00551D66" w:rsidRPr="008577B4" w:rsidRDefault="00551D6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1878" w:type="dxa"/>
          </w:tcPr>
          <w:p w:rsidR="00551D66" w:rsidRPr="008577B4" w:rsidRDefault="00551D6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765.666</w:t>
            </w:r>
          </w:p>
        </w:tc>
        <w:tc>
          <w:tcPr>
            <w:tcW w:w="1958" w:type="dxa"/>
          </w:tcPr>
          <w:p w:rsidR="00551D66" w:rsidRPr="008577B4" w:rsidRDefault="00551D6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618" w:type="dxa"/>
          </w:tcPr>
          <w:p w:rsidR="00551D66" w:rsidRDefault="00551D66" w:rsidP="001129FC">
            <w:pPr>
              <w:spacing w:after="0" w:line="480" w:lineRule="auto"/>
              <w:jc w:val="center"/>
              <w:rPr>
                <w:rFonts w:ascii="Times New Roman" w:hAnsi="Times New Roman" w:cs="Times New Roman"/>
                <w:sz w:val="24"/>
                <w:szCs w:val="24"/>
              </w:rPr>
            </w:pPr>
          </w:p>
        </w:tc>
      </w:tr>
      <w:tr w:rsidR="00F639E6" w:rsidRPr="008577B4" w:rsidTr="007C1316">
        <w:trPr>
          <w:trHeight w:val="369"/>
        </w:trPr>
        <w:tc>
          <w:tcPr>
            <w:tcW w:w="164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87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808.504</w:t>
            </w:r>
          </w:p>
        </w:tc>
        <w:tc>
          <w:tcPr>
            <w:tcW w:w="195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42.838</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sidRPr="00F639E6">
              <w:rPr>
                <w:rFonts w:ascii="Times New Roman" w:hAnsi="Times New Roman" w:cs="Times New Roman"/>
                <w:color w:val="000000"/>
                <w:sz w:val="24"/>
              </w:rPr>
              <w:t>5,59</w:t>
            </w:r>
          </w:p>
        </w:tc>
      </w:tr>
      <w:tr w:rsidR="00F639E6" w:rsidRPr="008577B4" w:rsidTr="007C1316">
        <w:trPr>
          <w:trHeight w:val="369"/>
        </w:trPr>
        <w:tc>
          <w:tcPr>
            <w:tcW w:w="164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87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1.369.459</w:t>
            </w:r>
          </w:p>
        </w:tc>
        <w:tc>
          <w:tcPr>
            <w:tcW w:w="195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560.955</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sidRPr="00F639E6">
              <w:rPr>
                <w:rFonts w:ascii="Times New Roman" w:hAnsi="Times New Roman" w:cs="Times New Roman"/>
                <w:color w:val="000000"/>
                <w:sz w:val="24"/>
              </w:rPr>
              <w:t>69,38</w:t>
            </w:r>
          </w:p>
        </w:tc>
      </w:tr>
      <w:tr w:rsidR="00F639E6" w:rsidRPr="008577B4" w:rsidTr="007C1316">
        <w:trPr>
          <w:trHeight w:val="379"/>
        </w:trPr>
        <w:tc>
          <w:tcPr>
            <w:tcW w:w="164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87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2.143.312</w:t>
            </w:r>
          </w:p>
        </w:tc>
        <w:tc>
          <w:tcPr>
            <w:tcW w:w="195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773.853</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sidRPr="00F639E6">
              <w:rPr>
                <w:rFonts w:ascii="Times New Roman" w:hAnsi="Times New Roman" w:cs="Times New Roman"/>
                <w:color w:val="000000"/>
                <w:sz w:val="24"/>
              </w:rPr>
              <w:t>56,51</w:t>
            </w:r>
          </w:p>
        </w:tc>
      </w:tr>
      <w:tr w:rsidR="00F639E6" w:rsidRPr="008577B4" w:rsidTr="007C1316">
        <w:trPr>
          <w:trHeight w:val="369"/>
        </w:trPr>
        <w:tc>
          <w:tcPr>
            <w:tcW w:w="164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87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2.958.628</w:t>
            </w:r>
          </w:p>
        </w:tc>
        <w:tc>
          <w:tcPr>
            <w:tcW w:w="195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815.316</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sidRPr="00F639E6">
              <w:rPr>
                <w:rFonts w:ascii="Times New Roman" w:hAnsi="Times New Roman" w:cs="Times New Roman"/>
                <w:color w:val="000000"/>
                <w:sz w:val="24"/>
              </w:rPr>
              <w:t>38,04</w:t>
            </w:r>
          </w:p>
        </w:tc>
      </w:tr>
      <w:tr w:rsidR="00F639E6" w:rsidRPr="008577B4" w:rsidTr="007C1316">
        <w:trPr>
          <w:trHeight w:val="369"/>
        </w:trPr>
        <w:tc>
          <w:tcPr>
            <w:tcW w:w="1648" w:type="dxa"/>
          </w:tcPr>
          <w:p w:rsidR="00F639E6"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878" w:type="dxa"/>
          </w:tcPr>
          <w:p w:rsidR="00F639E6" w:rsidRPr="008577B4"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3.737.450</w:t>
            </w:r>
          </w:p>
        </w:tc>
        <w:tc>
          <w:tcPr>
            <w:tcW w:w="1958" w:type="dxa"/>
          </w:tcPr>
          <w:p w:rsidR="00F639E6"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778.822</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sidRPr="00F639E6">
              <w:rPr>
                <w:rFonts w:ascii="Times New Roman" w:hAnsi="Times New Roman" w:cs="Times New Roman"/>
                <w:color w:val="000000"/>
                <w:sz w:val="24"/>
              </w:rPr>
              <w:t>26,32</w:t>
            </w:r>
          </w:p>
        </w:tc>
      </w:tr>
      <w:tr w:rsidR="00F639E6" w:rsidRPr="008577B4" w:rsidTr="007C1316">
        <w:trPr>
          <w:trHeight w:val="369"/>
        </w:trPr>
        <w:tc>
          <w:tcPr>
            <w:tcW w:w="1648" w:type="dxa"/>
          </w:tcPr>
          <w:p w:rsidR="00F639E6"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Rata-rata</w:t>
            </w:r>
          </w:p>
        </w:tc>
        <w:tc>
          <w:tcPr>
            <w:tcW w:w="1878" w:type="dxa"/>
          </w:tcPr>
          <w:p w:rsidR="00F639E6"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1.963.836</w:t>
            </w:r>
          </w:p>
        </w:tc>
        <w:tc>
          <w:tcPr>
            <w:tcW w:w="1958" w:type="dxa"/>
          </w:tcPr>
          <w:p w:rsidR="00F639E6" w:rsidRDefault="00F639E6" w:rsidP="001129F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594.356</w:t>
            </w:r>
          </w:p>
        </w:tc>
        <w:tc>
          <w:tcPr>
            <w:tcW w:w="1618" w:type="dxa"/>
            <w:vAlign w:val="bottom"/>
          </w:tcPr>
          <w:p w:rsidR="00F639E6" w:rsidRPr="00F639E6" w:rsidRDefault="00F639E6" w:rsidP="00F639E6">
            <w:pPr>
              <w:jc w:val="center"/>
              <w:rPr>
                <w:rFonts w:ascii="Times New Roman" w:hAnsi="Times New Roman" w:cs="Times New Roman"/>
                <w:color w:val="000000"/>
                <w:sz w:val="24"/>
                <w:szCs w:val="24"/>
              </w:rPr>
            </w:pPr>
            <w:r>
              <w:rPr>
                <w:rFonts w:ascii="Times New Roman" w:hAnsi="Times New Roman" w:cs="Times New Roman"/>
                <w:color w:val="000000"/>
                <w:sz w:val="24"/>
              </w:rPr>
              <w:t>39,17</w:t>
            </w:r>
          </w:p>
        </w:tc>
      </w:tr>
    </w:tbl>
    <w:p w:rsidR="004838C1" w:rsidRPr="008577B4" w:rsidRDefault="004838C1" w:rsidP="00CB2071">
      <w:pPr>
        <w:spacing w:after="0" w:line="480" w:lineRule="auto"/>
        <w:jc w:val="both"/>
        <w:rPr>
          <w:rFonts w:ascii="Times New Roman" w:hAnsi="Times New Roman" w:cs="Times New Roman"/>
          <w:b/>
          <w:sz w:val="24"/>
          <w:szCs w:val="24"/>
        </w:rPr>
      </w:pPr>
    </w:p>
    <w:p w:rsidR="004838C1" w:rsidRPr="008577B4" w:rsidRDefault="004838C1" w:rsidP="00084EEE">
      <w:pPr>
        <w:spacing w:after="0" w:line="480" w:lineRule="auto"/>
        <w:ind w:left="720" w:firstLine="720"/>
        <w:jc w:val="both"/>
        <w:rPr>
          <w:rFonts w:ascii="Times New Roman" w:hAnsi="Times New Roman" w:cs="Times New Roman"/>
          <w:sz w:val="24"/>
          <w:szCs w:val="24"/>
        </w:rPr>
      </w:pPr>
    </w:p>
    <w:p w:rsidR="004838C1" w:rsidRPr="008577B4" w:rsidRDefault="004838C1" w:rsidP="00084EEE">
      <w:pPr>
        <w:spacing w:after="0" w:line="480" w:lineRule="auto"/>
        <w:rPr>
          <w:rFonts w:ascii="Times New Roman" w:hAnsi="Times New Roman" w:cs="Times New Roman"/>
          <w:sz w:val="24"/>
          <w:szCs w:val="24"/>
        </w:rPr>
      </w:pPr>
    </w:p>
    <w:p w:rsidR="00345E4B" w:rsidRDefault="00345E4B"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1129FC" w:rsidRDefault="001129FC" w:rsidP="00084EEE">
      <w:pPr>
        <w:spacing w:after="0" w:line="480" w:lineRule="auto"/>
        <w:ind w:left="720" w:hanging="720"/>
        <w:jc w:val="center"/>
        <w:rPr>
          <w:rFonts w:ascii="Times New Roman" w:hAnsi="Times New Roman" w:cs="Times New Roman"/>
          <w:b/>
          <w:sz w:val="24"/>
          <w:szCs w:val="24"/>
        </w:rPr>
      </w:pPr>
    </w:p>
    <w:p w:rsidR="004838C1" w:rsidRPr="008577B4" w:rsidRDefault="00AE0C03" w:rsidP="00AE0C03">
      <w:pPr>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Sumber: Laporan Keuangan PT. Bank Bjb Syariah Periode 2010-2015</w:t>
      </w:r>
    </w:p>
    <w:p w:rsidR="00CB042E" w:rsidRPr="00CB042E" w:rsidRDefault="00825099" w:rsidP="00CB042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004838C1" w:rsidRPr="008577B4">
        <w:rPr>
          <w:rFonts w:ascii="Times New Roman" w:hAnsi="Times New Roman" w:cs="Times New Roman"/>
          <w:sz w:val="24"/>
          <w:szCs w:val="24"/>
        </w:rPr>
        <w:t xml:space="preserve">abel 4.1 </w:t>
      </w:r>
      <w:r>
        <w:rPr>
          <w:rFonts w:ascii="Times New Roman" w:hAnsi="Times New Roman" w:cs="Times New Roman"/>
          <w:sz w:val="24"/>
          <w:szCs w:val="24"/>
        </w:rPr>
        <w:t>dan Gambar 4.1dapat dilihat bahwa p</w:t>
      </w:r>
      <w:r w:rsidR="004838C1" w:rsidRPr="008577B4">
        <w:rPr>
          <w:rFonts w:ascii="Times New Roman" w:hAnsi="Times New Roman" w:cs="Times New Roman"/>
          <w:sz w:val="24"/>
          <w:szCs w:val="24"/>
        </w:rPr>
        <w:t xml:space="preserve">embiayaan </w:t>
      </w:r>
      <w:r>
        <w:rPr>
          <w:rFonts w:ascii="Times New Roman" w:hAnsi="Times New Roman" w:cs="Times New Roman"/>
          <w:sz w:val="24"/>
          <w:szCs w:val="24"/>
        </w:rPr>
        <w:t>K</w:t>
      </w:r>
      <w:r w:rsidR="00FE6B83" w:rsidRPr="008577B4">
        <w:rPr>
          <w:rFonts w:ascii="Times New Roman" w:hAnsi="Times New Roman" w:cs="Times New Roman"/>
          <w:sz w:val="24"/>
          <w:szCs w:val="24"/>
        </w:rPr>
        <w:t>emilikan Rumah</w:t>
      </w:r>
      <w:r w:rsidR="004838C1" w:rsidRPr="008577B4">
        <w:rPr>
          <w:rFonts w:ascii="Times New Roman" w:hAnsi="Times New Roman" w:cs="Times New Roman"/>
          <w:sz w:val="24"/>
          <w:szCs w:val="24"/>
        </w:rPr>
        <w:t xml:space="preserve"> </w:t>
      </w:r>
      <w:r w:rsidR="00CB042E">
        <w:rPr>
          <w:rFonts w:ascii="Times New Roman" w:hAnsi="Times New Roman" w:cs="Times New Roman"/>
          <w:i/>
          <w:sz w:val="24"/>
          <w:szCs w:val="24"/>
        </w:rPr>
        <w:t>Murabahah</w:t>
      </w:r>
      <w:r w:rsidR="00CB042E">
        <w:rPr>
          <w:rFonts w:ascii="Times New Roman" w:hAnsi="Times New Roman" w:cs="Times New Roman"/>
          <w:sz w:val="24"/>
          <w:szCs w:val="24"/>
        </w:rPr>
        <w:t xml:space="preserve"> periode 2010 hingga 2015 terus mengalami kenaikan yang signifikan. Nilai tertinggi dari pembiayaan Kepemilikan Rumah (KPR) </w:t>
      </w:r>
      <w:r w:rsidR="00CB042E">
        <w:rPr>
          <w:rFonts w:ascii="Times New Roman" w:hAnsi="Times New Roman" w:cs="Times New Roman"/>
          <w:i/>
          <w:sz w:val="24"/>
          <w:szCs w:val="24"/>
        </w:rPr>
        <w:t>Murabahah</w:t>
      </w:r>
      <w:r w:rsidR="00CB042E">
        <w:rPr>
          <w:rFonts w:ascii="Times New Roman" w:hAnsi="Times New Roman" w:cs="Times New Roman"/>
          <w:sz w:val="24"/>
          <w:szCs w:val="24"/>
        </w:rPr>
        <w:t xml:space="preserve"> terjadi pada tahun 2015 yaitu sebesar 3.737.450 dan nilai terendah terjadi pada tahun 2010 yaitu sebesar 765.666 denga rata-rata pembiaya</w:t>
      </w:r>
      <w:r w:rsidR="00AC7D93">
        <w:rPr>
          <w:rFonts w:ascii="Times New Roman" w:hAnsi="Times New Roman" w:cs="Times New Roman"/>
          <w:sz w:val="24"/>
          <w:szCs w:val="24"/>
        </w:rPr>
        <w:t>an sebesar 1.963.836. untuk lebi</w:t>
      </w:r>
      <w:r w:rsidR="00CB042E">
        <w:rPr>
          <w:rFonts w:ascii="Times New Roman" w:hAnsi="Times New Roman" w:cs="Times New Roman"/>
          <w:sz w:val="24"/>
          <w:szCs w:val="24"/>
        </w:rPr>
        <w:t xml:space="preserve">h jelasnya perkembangan pembiayaan Kepemilikan Rumah (KPR) </w:t>
      </w:r>
      <w:r w:rsidR="00CB042E">
        <w:rPr>
          <w:rFonts w:ascii="Times New Roman" w:hAnsi="Times New Roman" w:cs="Times New Roman"/>
          <w:i/>
          <w:sz w:val="24"/>
          <w:szCs w:val="24"/>
        </w:rPr>
        <w:t>Muraahah</w:t>
      </w:r>
      <w:r w:rsidR="00CB042E">
        <w:rPr>
          <w:rFonts w:ascii="Times New Roman" w:hAnsi="Times New Roman" w:cs="Times New Roman"/>
          <w:sz w:val="24"/>
          <w:szCs w:val="24"/>
        </w:rPr>
        <w:t xml:space="preserve"> dapat dilihat melalui gambar grafik berikut:</w:t>
      </w:r>
    </w:p>
    <w:p w:rsidR="008577B4" w:rsidRPr="008577B4" w:rsidRDefault="008577B4" w:rsidP="00084EEE">
      <w:pPr>
        <w:spacing w:after="0" w:line="480" w:lineRule="auto"/>
        <w:ind w:firstLine="720"/>
        <w:jc w:val="both"/>
        <w:rPr>
          <w:rFonts w:ascii="Times New Roman" w:eastAsia="Times New Roman" w:hAnsi="Times New Roman" w:cs="Times New Roman"/>
          <w:sz w:val="24"/>
          <w:szCs w:val="24"/>
        </w:rPr>
      </w:pPr>
    </w:p>
    <w:p w:rsidR="004838C1" w:rsidRPr="008577B4" w:rsidRDefault="00A21CAC" w:rsidP="00084EEE">
      <w:pPr>
        <w:spacing w:after="0" w:line="480" w:lineRule="auto"/>
        <w:ind w:firstLine="720"/>
        <w:jc w:val="both"/>
        <w:rPr>
          <w:rFonts w:ascii="Times New Roman" w:eastAsia="Times New Roman" w:hAnsi="Times New Roman" w:cs="Times New Roman"/>
          <w:sz w:val="24"/>
          <w:szCs w:val="24"/>
        </w:rPr>
      </w:pPr>
      <w:r>
        <w:rPr>
          <w:noProof/>
          <w:lang w:val="en-US" w:eastAsia="en-US"/>
        </w:rPr>
        <w:lastRenderedPageBreak/>
        <w:drawing>
          <wp:inline distT="0" distB="0" distL="0" distR="0" wp14:anchorId="439760E8" wp14:editId="7F4D2B49">
            <wp:extent cx="4572000" cy="2743200"/>
            <wp:effectExtent l="0" t="0" r="19050" b="1905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0DA7" w:rsidRDefault="00C90DA7" w:rsidP="00084EE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4.1 </w:t>
      </w:r>
      <w:r w:rsidR="004838C1" w:rsidRPr="008577B4">
        <w:rPr>
          <w:rFonts w:ascii="Times New Roman" w:hAnsi="Times New Roman" w:cs="Times New Roman"/>
          <w:b/>
          <w:sz w:val="24"/>
          <w:szCs w:val="24"/>
        </w:rPr>
        <w:t xml:space="preserve"> </w:t>
      </w:r>
    </w:p>
    <w:p w:rsidR="004838C1" w:rsidRPr="00C90DA7" w:rsidRDefault="004838C1" w:rsidP="00BF3166">
      <w:pPr>
        <w:spacing w:after="0" w:line="480" w:lineRule="auto"/>
        <w:jc w:val="center"/>
        <w:rPr>
          <w:rFonts w:ascii="Times New Roman" w:hAnsi="Times New Roman" w:cs="Times New Roman"/>
          <w:b/>
          <w:sz w:val="24"/>
          <w:szCs w:val="24"/>
        </w:rPr>
      </w:pPr>
      <w:r w:rsidRPr="008577B4">
        <w:rPr>
          <w:rFonts w:ascii="Times New Roman" w:hAnsi="Times New Roman" w:cs="Times New Roman"/>
          <w:b/>
          <w:sz w:val="24"/>
          <w:szCs w:val="24"/>
        </w:rPr>
        <w:t xml:space="preserve">Perkembangan Pembiayaan </w:t>
      </w:r>
      <w:r w:rsidR="00C90DA7">
        <w:rPr>
          <w:rFonts w:ascii="Times New Roman" w:hAnsi="Times New Roman" w:cs="Times New Roman"/>
          <w:b/>
          <w:sz w:val="24"/>
          <w:szCs w:val="24"/>
        </w:rPr>
        <w:t>Kep</w:t>
      </w:r>
      <w:r w:rsidR="00BC74CD" w:rsidRPr="008577B4">
        <w:rPr>
          <w:rFonts w:ascii="Times New Roman" w:hAnsi="Times New Roman" w:cs="Times New Roman"/>
          <w:b/>
          <w:sz w:val="24"/>
          <w:szCs w:val="24"/>
        </w:rPr>
        <w:t>emilikan Rumah</w:t>
      </w:r>
      <w:r w:rsidR="00BF3166">
        <w:rPr>
          <w:rFonts w:ascii="Times New Roman" w:hAnsi="Times New Roman" w:cs="Times New Roman"/>
          <w:b/>
          <w:sz w:val="24"/>
          <w:szCs w:val="24"/>
        </w:rPr>
        <w:t xml:space="preserve"> (KPR)</w:t>
      </w:r>
      <w:bookmarkStart w:id="0" w:name="_Hlk492364475"/>
      <w:r w:rsidR="00BF3166">
        <w:rPr>
          <w:rFonts w:ascii="Times New Roman" w:hAnsi="Times New Roman" w:cs="Times New Roman"/>
          <w:b/>
          <w:sz w:val="24"/>
          <w:szCs w:val="24"/>
        </w:rPr>
        <w:t xml:space="preserve"> PT. Bank Bjb</w:t>
      </w:r>
      <w:r w:rsidR="00A25C96">
        <w:rPr>
          <w:rFonts w:ascii="Times New Roman" w:hAnsi="Times New Roman" w:cs="Times New Roman"/>
          <w:b/>
          <w:sz w:val="24"/>
          <w:szCs w:val="24"/>
        </w:rPr>
        <w:t xml:space="preserve"> Syariah Periode 2010</w:t>
      </w:r>
      <w:r w:rsidR="00C90DA7">
        <w:rPr>
          <w:rFonts w:ascii="Times New Roman" w:hAnsi="Times New Roman" w:cs="Times New Roman"/>
          <w:b/>
          <w:sz w:val="24"/>
          <w:szCs w:val="24"/>
        </w:rPr>
        <w:t>-2015 (data diolah,2018)</w:t>
      </w:r>
    </w:p>
    <w:p w:rsidR="00B95142" w:rsidRDefault="00B95142" w:rsidP="00A25C96">
      <w:pPr>
        <w:spacing w:after="0" w:line="480" w:lineRule="auto"/>
        <w:jc w:val="both"/>
        <w:rPr>
          <w:rFonts w:ascii="Times New Roman" w:hAnsi="Times New Roman" w:cs="Times New Roman"/>
          <w:sz w:val="24"/>
          <w:szCs w:val="24"/>
        </w:rPr>
      </w:pPr>
    </w:p>
    <w:p w:rsidR="00A25C96" w:rsidRPr="008577B4" w:rsidRDefault="00A25C96" w:rsidP="00B95142">
      <w:pPr>
        <w:spacing w:after="0" w:line="480" w:lineRule="auto"/>
        <w:ind w:left="720" w:hanging="720"/>
        <w:jc w:val="both"/>
        <w:rPr>
          <w:rFonts w:ascii="Times New Roman" w:hAnsi="Times New Roman" w:cs="Times New Roman"/>
          <w:b/>
          <w:sz w:val="24"/>
          <w:szCs w:val="24"/>
        </w:rPr>
      </w:pPr>
      <w:r w:rsidRPr="008577B4">
        <w:rPr>
          <w:rFonts w:ascii="Times New Roman" w:hAnsi="Times New Roman" w:cs="Times New Roman"/>
          <w:b/>
          <w:sz w:val="24"/>
          <w:szCs w:val="24"/>
        </w:rPr>
        <w:t>4.1.2</w:t>
      </w:r>
      <w:r w:rsidRPr="008577B4">
        <w:rPr>
          <w:rFonts w:ascii="Times New Roman" w:hAnsi="Times New Roman" w:cs="Times New Roman"/>
          <w:b/>
          <w:sz w:val="24"/>
          <w:szCs w:val="24"/>
        </w:rPr>
        <w:tab/>
        <w:t xml:space="preserve">Perkembangan </w:t>
      </w:r>
      <w:r w:rsidR="00870520">
        <w:rPr>
          <w:rFonts w:ascii="Times New Roman" w:hAnsi="Times New Roman" w:cs="Times New Roman"/>
          <w:b/>
          <w:i/>
          <w:sz w:val="24"/>
          <w:szCs w:val="24"/>
        </w:rPr>
        <w:t>Non Performing Financing</w:t>
      </w:r>
      <w:r w:rsidRPr="008577B4">
        <w:rPr>
          <w:rFonts w:ascii="Times New Roman" w:hAnsi="Times New Roman" w:cs="Times New Roman"/>
          <w:b/>
          <w:sz w:val="24"/>
          <w:szCs w:val="24"/>
        </w:rPr>
        <w:t xml:space="preserve"> </w:t>
      </w:r>
      <w:r w:rsidR="00870520">
        <w:rPr>
          <w:rFonts w:ascii="Times New Roman" w:hAnsi="Times New Roman" w:cs="Times New Roman"/>
          <w:b/>
          <w:sz w:val="24"/>
          <w:szCs w:val="24"/>
        </w:rPr>
        <w:t>(NPF</w:t>
      </w:r>
      <w:r>
        <w:rPr>
          <w:rFonts w:ascii="Times New Roman" w:hAnsi="Times New Roman" w:cs="Times New Roman"/>
          <w:b/>
          <w:sz w:val="24"/>
          <w:szCs w:val="24"/>
        </w:rPr>
        <w:t>)</w:t>
      </w:r>
      <w:r w:rsidR="00B95142">
        <w:rPr>
          <w:rFonts w:ascii="Times New Roman" w:hAnsi="Times New Roman" w:cs="Times New Roman"/>
          <w:b/>
          <w:sz w:val="24"/>
          <w:szCs w:val="24"/>
        </w:rPr>
        <w:t xml:space="preserve"> pada PT. Bank Bjb Syariah </w:t>
      </w:r>
      <w:r w:rsidR="000B6F8D">
        <w:rPr>
          <w:rFonts w:ascii="Times New Roman" w:hAnsi="Times New Roman" w:cs="Times New Roman"/>
          <w:b/>
          <w:sz w:val="24"/>
          <w:szCs w:val="24"/>
        </w:rPr>
        <w:t>2010-2015</w:t>
      </w:r>
    </w:p>
    <w:p w:rsidR="00A25C96" w:rsidRDefault="00B95142" w:rsidP="00A25C96">
      <w:pPr>
        <w:spacing w:after="0" w:line="480" w:lineRule="auto"/>
        <w:ind w:firstLine="720"/>
        <w:jc w:val="both"/>
        <w:rPr>
          <w:rFonts w:ascii="Times New Roman" w:hAnsi="Times New Roman" w:cs="Times New Roman"/>
          <w:sz w:val="24"/>
          <w:szCs w:val="24"/>
        </w:rPr>
      </w:pPr>
      <w:r w:rsidRPr="00B95142">
        <w:rPr>
          <w:rFonts w:ascii="Times New Roman" w:hAnsi="Times New Roman" w:cs="Times New Roman"/>
          <w:i/>
          <w:sz w:val="24"/>
          <w:szCs w:val="24"/>
        </w:rPr>
        <w:t>Non Performing Financing</w:t>
      </w:r>
      <w:r>
        <w:rPr>
          <w:rFonts w:ascii="Times New Roman" w:hAnsi="Times New Roman" w:cs="Times New Roman"/>
          <w:i/>
          <w:sz w:val="24"/>
          <w:szCs w:val="24"/>
        </w:rPr>
        <w:t xml:space="preserve"> </w:t>
      </w:r>
      <w:r>
        <w:rPr>
          <w:rFonts w:ascii="Times New Roman" w:hAnsi="Times New Roman" w:cs="Times New Roman"/>
          <w:sz w:val="24"/>
          <w:szCs w:val="24"/>
        </w:rPr>
        <w:t>(NPF) atau pembiayaan bermasalah adalah suatu kondisi pembiayaan, dimana ada suatu penyimpangan utama dalam pembayaan kembali pembiayaan yang menyebabkan kelambatan dalam pengembalian atau diperlukan tindakan yuridis dalam pengembalian atau kemungkinan potensial loss.</w:t>
      </w:r>
    </w:p>
    <w:p w:rsidR="00B95142" w:rsidRDefault="00B95142" w:rsidP="00B9514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Berikut adalah perkembangan Non Performing Financing (NPF) pada PT. Bank Bjb Syariah pada tahun 2010 hingga tahun 2015 yang disajikan pada tabel 4.2 berikut:</w:t>
      </w:r>
    </w:p>
    <w:p w:rsidR="00B95142" w:rsidRDefault="00B95142" w:rsidP="00192376">
      <w:pPr>
        <w:spacing w:after="0" w:line="480" w:lineRule="auto"/>
        <w:rPr>
          <w:rFonts w:ascii="Times New Roman" w:hAnsi="Times New Roman" w:cs="Times New Roman"/>
          <w:sz w:val="24"/>
          <w:szCs w:val="24"/>
        </w:rPr>
      </w:pPr>
    </w:p>
    <w:p w:rsidR="00192376" w:rsidRDefault="00192376" w:rsidP="00192376">
      <w:pPr>
        <w:spacing w:after="0" w:line="480" w:lineRule="auto"/>
        <w:rPr>
          <w:rFonts w:ascii="Times New Roman" w:hAnsi="Times New Roman" w:cs="Times New Roman"/>
          <w:sz w:val="24"/>
          <w:szCs w:val="24"/>
        </w:rPr>
      </w:pPr>
    </w:p>
    <w:p w:rsidR="00192376" w:rsidRDefault="00192376" w:rsidP="00192376">
      <w:pPr>
        <w:spacing w:after="0" w:line="480" w:lineRule="auto"/>
        <w:rPr>
          <w:rFonts w:ascii="Times New Roman" w:hAnsi="Times New Roman" w:cs="Times New Roman"/>
          <w:sz w:val="24"/>
          <w:szCs w:val="24"/>
        </w:rPr>
      </w:pPr>
    </w:p>
    <w:p w:rsidR="00192376" w:rsidRDefault="00192376" w:rsidP="00192376">
      <w:pPr>
        <w:spacing w:after="0" w:line="480" w:lineRule="auto"/>
        <w:rPr>
          <w:rFonts w:ascii="Times New Roman" w:hAnsi="Times New Roman" w:cs="Times New Roman"/>
          <w:sz w:val="24"/>
          <w:szCs w:val="24"/>
        </w:rPr>
      </w:pPr>
    </w:p>
    <w:p w:rsidR="00A25C96" w:rsidRDefault="00A25C96" w:rsidP="00A25C96">
      <w:pPr>
        <w:spacing w:after="0" w:line="480" w:lineRule="auto"/>
        <w:ind w:firstLine="720"/>
        <w:jc w:val="center"/>
        <w:rPr>
          <w:rFonts w:ascii="Times New Roman" w:hAnsi="Times New Roman" w:cs="Times New Roman"/>
          <w:b/>
          <w:sz w:val="24"/>
          <w:szCs w:val="24"/>
        </w:rPr>
      </w:pPr>
      <w:r w:rsidRPr="008577B4">
        <w:rPr>
          <w:rFonts w:ascii="Times New Roman" w:hAnsi="Times New Roman" w:cs="Times New Roman"/>
          <w:b/>
          <w:sz w:val="24"/>
          <w:szCs w:val="24"/>
        </w:rPr>
        <w:lastRenderedPageBreak/>
        <w:t xml:space="preserve">Tabel 4.2 Perkembangan </w:t>
      </w:r>
      <w:r w:rsidR="00870520">
        <w:rPr>
          <w:rFonts w:ascii="Times New Roman" w:hAnsi="Times New Roman" w:cs="Times New Roman"/>
          <w:b/>
          <w:i/>
          <w:sz w:val="24"/>
          <w:szCs w:val="24"/>
        </w:rPr>
        <w:t>Non Performing Financing</w:t>
      </w:r>
      <w:r w:rsidRPr="008577B4">
        <w:rPr>
          <w:rFonts w:ascii="Times New Roman" w:hAnsi="Times New Roman" w:cs="Times New Roman"/>
          <w:b/>
          <w:i/>
          <w:sz w:val="24"/>
          <w:szCs w:val="24"/>
        </w:rPr>
        <w:t xml:space="preserve"> </w:t>
      </w:r>
      <w:r w:rsidR="00870520">
        <w:rPr>
          <w:rFonts w:ascii="Times New Roman" w:hAnsi="Times New Roman" w:cs="Times New Roman"/>
          <w:b/>
          <w:sz w:val="24"/>
          <w:szCs w:val="24"/>
        </w:rPr>
        <w:t>(NPF</w:t>
      </w:r>
      <w:r w:rsidRPr="008577B4">
        <w:rPr>
          <w:rFonts w:ascii="Times New Roman" w:hAnsi="Times New Roman" w:cs="Times New Roman"/>
          <w:b/>
          <w:sz w:val="24"/>
          <w:szCs w:val="24"/>
        </w:rPr>
        <w:t xml:space="preserve">)  Bank Bjb </w:t>
      </w:r>
      <w:r w:rsidR="00870520">
        <w:rPr>
          <w:rFonts w:ascii="Times New Roman" w:hAnsi="Times New Roman" w:cs="Times New Roman"/>
          <w:b/>
          <w:sz w:val="24"/>
          <w:szCs w:val="24"/>
        </w:rPr>
        <w:t xml:space="preserve"> Syariah Periode 2010-2015</w:t>
      </w:r>
    </w:p>
    <w:tbl>
      <w:tblPr>
        <w:tblStyle w:val="TableGrid"/>
        <w:tblpPr w:leftFromText="180" w:rightFromText="180" w:vertAnchor="text" w:horzAnchor="margin" w:tblpXSpec="center" w:tblpY="177"/>
        <w:tblW w:w="0" w:type="auto"/>
        <w:tblLook w:val="04A0" w:firstRow="1" w:lastRow="0" w:firstColumn="1" w:lastColumn="0" w:noHBand="0" w:noVBand="1"/>
      </w:tblPr>
      <w:tblGrid>
        <w:gridCol w:w="2336"/>
        <w:gridCol w:w="2336"/>
        <w:gridCol w:w="2336"/>
      </w:tblGrid>
      <w:tr w:rsidR="00870520" w:rsidRPr="008577B4" w:rsidTr="00870520">
        <w:trPr>
          <w:trHeight w:val="402"/>
        </w:trPr>
        <w:tc>
          <w:tcPr>
            <w:tcW w:w="2336" w:type="dxa"/>
          </w:tcPr>
          <w:p w:rsidR="00870520" w:rsidRPr="008577B4" w:rsidRDefault="00870520" w:rsidP="00870520">
            <w:pPr>
              <w:spacing w:after="0" w:line="480" w:lineRule="auto"/>
              <w:ind w:left="22" w:hanging="22"/>
              <w:jc w:val="center"/>
              <w:rPr>
                <w:rFonts w:ascii="Times New Roman" w:hAnsi="Times New Roman" w:cs="Times New Roman"/>
                <w:sz w:val="24"/>
                <w:szCs w:val="24"/>
              </w:rPr>
            </w:pPr>
            <w:r w:rsidRPr="008577B4">
              <w:rPr>
                <w:rFonts w:ascii="Times New Roman" w:hAnsi="Times New Roman" w:cs="Times New Roman"/>
                <w:sz w:val="24"/>
                <w:szCs w:val="24"/>
              </w:rPr>
              <w:t>Tahun</w:t>
            </w:r>
          </w:p>
        </w:tc>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NPF</w:t>
            </w:r>
            <w:r w:rsidRPr="008577B4">
              <w:rPr>
                <w:rFonts w:ascii="Times New Roman" w:hAnsi="Times New Roman" w:cs="Times New Roman"/>
                <w:sz w:val="24"/>
                <w:szCs w:val="24"/>
              </w:rPr>
              <w:t xml:space="preserve"> (%)</w:t>
            </w:r>
          </w:p>
        </w:tc>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Perkembangan (%)</w:t>
            </w:r>
          </w:p>
        </w:tc>
      </w:tr>
      <w:tr w:rsidR="00870520" w:rsidRPr="008577B4" w:rsidTr="00870520">
        <w:trPr>
          <w:trHeight w:val="559"/>
        </w:trPr>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1,04</w:t>
            </w:r>
          </w:p>
        </w:tc>
        <w:tc>
          <w:tcPr>
            <w:tcW w:w="2336" w:type="dxa"/>
          </w:tcPr>
          <w:p w:rsidR="00870520" w:rsidRPr="00035B2A" w:rsidRDefault="00870520" w:rsidP="00870520">
            <w:pPr>
              <w:pStyle w:val="ListParagraph"/>
              <w:spacing w:line="480" w:lineRule="auto"/>
              <w:ind w:left="0"/>
              <w:jc w:val="center"/>
              <w:rPr>
                <w:sz w:val="24"/>
                <w:szCs w:val="24"/>
              </w:rPr>
            </w:pPr>
          </w:p>
        </w:tc>
      </w:tr>
      <w:tr w:rsidR="00870520" w:rsidRPr="008577B4" w:rsidTr="00870520">
        <w:trPr>
          <w:trHeight w:val="559"/>
        </w:trPr>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0,41</w:t>
            </w:r>
          </w:p>
        </w:tc>
        <w:tc>
          <w:tcPr>
            <w:tcW w:w="2336" w:type="dxa"/>
          </w:tcPr>
          <w:p w:rsidR="00870520" w:rsidRPr="00035B2A" w:rsidRDefault="00BB5B66" w:rsidP="00870520">
            <w:pPr>
              <w:pStyle w:val="ListParagraph"/>
              <w:spacing w:line="480" w:lineRule="auto"/>
              <w:ind w:left="0"/>
              <w:jc w:val="center"/>
              <w:rPr>
                <w:sz w:val="24"/>
                <w:szCs w:val="24"/>
              </w:rPr>
            </w:pPr>
            <w:r>
              <w:rPr>
                <w:sz w:val="24"/>
                <w:szCs w:val="24"/>
              </w:rPr>
              <w:t>-0,63</w:t>
            </w:r>
          </w:p>
        </w:tc>
      </w:tr>
      <w:tr w:rsidR="00870520" w:rsidRPr="008577B4" w:rsidTr="00870520">
        <w:trPr>
          <w:trHeight w:val="559"/>
        </w:trPr>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1,01</w:t>
            </w:r>
          </w:p>
        </w:tc>
        <w:tc>
          <w:tcPr>
            <w:tcW w:w="2336" w:type="dxa"/>
          </w:tcPr>
          <w:p w:rsidR="00870520" w:rsidRPr="00035B2A" w:rsidRDefault="00BB5B66" w:rsidP="000D0BB3">
            <w:pPr>
              <w:pStyle w:val="ListParagraph"/>
              <w:spacing w:line="480" w:lineRule="auto"/>
              <w:ind w:left="0"/>
              <w:jc w:val="center"/>
              <w:rPr>
                <w:sz w:val="24"/>
                <w:szCs w:val="24"/>
              </w:rPr>
            </w:pPr>
            <w:r>
              <w:rPr>
                <w:sz w:val="24"/>
                <w:szCs w:val="24"/>
              </w:rPr>
              <w:t>0,6</w:t>
            </w:r>
          </w:p>
        </w:tc>
      </w:tr>
      <w:tr w:rsidR="00870520" w:rsidRPr="008577B4" w:rsidTr="00870520">
        <w:trPr>
          <w:trHeight w:val="559"/>
        </w:trPr>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1,16</w:t>
            </w:r>
          </w:p>
        </w:tc>
        <w:tc>
          <w:tcPr>
            <w:tcW w:w="2336" w:type="dxa"/>
          </w:tcPr>
          <w:p w:rsidR="00870520" w:rsidRPr="00035B2A" w:rsidRDefault="00BB5B66" w:rsidP="00870520">
            <w:pPr>
              <w:pStyle w:val="ListParagraph"/>
              <w:spacing w:line="480" w:lineRule="auto"/>
              <w:ind w:left="0"/>
              <w:jc w:val="center"/>
              <w:rPr>
                <w:sz w:val="24"/>
                <w:szCs w:val="24"/>
              </w:rPr>
            </w:pPr>
            <w:r>
              <w:rPr>
                <w:sz w:val="24"/>
                <w:szCs w:val="24"/>
              </w:rPr>
              <w:t>0,15</w:t>
            </w:r>
          </w:p>
        </w:tc>
      </w:tr>
      <w:tr w:rsidR="00870520" w:rsidRPr="008577B4" w:rsidTr="00870520">
        <w:trPr>
          <w:trHeight w:val="548"/>
        </w:trPr>
        <w:tc>
          <w:tcPr>
            <w:tcW w:w="2336" w:type="dxa"/>
          </w:tcPr>
          <w:p w:rsidR="00870520" w:rsidRPr="008577B4"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3,93</w:t>
            </w:r>
          </w:p>
        </w:tc>
        <w:tc>
          <w:tcPr>
            <w:tcW w:w="2336" w:type="dxa"/>
          </w:tcPr>
          <w:p w:rsidR="00870520" w:rsidRPr="00035B2A" w:rsidRDefault="00CD5296" w:rsidP="00870520">
            <w:pPr>
              <w:pStyle w:val="ListParagraph"/>
              <w:spacing w:line="480" w:lineRule="auto"/>
              <w:ind w:left="0"/>
              <w:jc w:val="center"/>
              <w:rPr>
                <w:sz w:val="24"/>
                <w:szCs w:val="24"/>
              </w:rPr>
            </w:pPr>
            <w:r>
              <w:rPr>
                <w:sz w:val="24"/>
                <w:szCs w:val="24"/>
              </w:rPr>
              <w:t>2,77</w:t>
            </w:r>
          </w:p>
        </w:tc>
      </w:tr>
      <w:tr w:rsidR="00870520" w:rsidRPr="008577B4" w:rsidTr="00870520">
        <w:trPr>
          <w:trHeight w:val="548"/>
        </w:trPr>
        <w:tc>
          <w:tcPr>
            <w:tcW w:w="2336" w:type="dxa"/>
          </w:tcPr>
          <w:p w:rsidR="00870520" w:rsidRDefault="00870520"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2336" w:type="dxa"/>
          </w:tcPr>
          <w:p w:rsidR="00870520" w:rsidRPr="00035B2A" w:rsidRDefault="00870520" w:rsidP="00870520">
            <w:pPr>
              <w:pStyle w:val="ListParagraph"/>
              <w:spacing w:line="480" w:lineRule="auto"/>
              <w:ind w:left="0"/>
              <w:jc w:val="center"/>
              <w:rPr>
                <w:sz w:val="24"/>
                <w:szCs w:val="24"/>
              </w:rPr>
            </w:pPr>
            <w:r>
              <w:rPr>
                <w:sz w:val="24"/>
                <w:szCs w:val="24"/>
              </w:rPr>
              <w:t>4,45</w:t>
            </w:r>
          </w:p>
        </w:tc>
        <w:tc>
          <w:tcPr>
            <w:tcW w:w="2336" w:type="dxa"/>
          </w:tcPr>
          <w:p w:rsidR="00870520" w:rsidRDefault="00CD5296" w:rsidP="00870520">
            <w:pPr>
              <w:pStyle w:val="ListParagraph"/>
              <w:spacing w:line="480" w:lineRule="auto"/>
              <w:ind w:left="0"/>
              <w:jc w:val="center"/>
              <w:rPr>
                <w:sz w:val="24"/>
                <w:szCs w:val="24"/>
              </w:rPr>
            </w:pPr>
            <w:r>
              <w:rPr>
                <w:sz w:val="24"/>
                <w:szCs w:val="24"/>
              </w:rPr>
              <w:t>0.52</w:t>
            </w:r>
          </w:p>
        </w:tc>
      </w:tr>
      <w:tr w:rsidR="00CD5296" w:rsidRPr="008577B4" w:rsidTr="00870520">
        <w:trPr>
          <w:trHeight w:val="548"/>
        </w:trPr>
        <w:tc>
          <w:tcPr>
            <w:tcW w:w="2336" w:type="dxa"/>
          </w:tcPr>
          <w:p w:rsidR="00CD5296" w:rsidRDefault="00CD5296" w:rsidP="00870520">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Rata-rata</w:t>
            </w:r>
          </w:p>
        </w:tc>
        <w:tc>
          <w:tcPr>
            <w:tcW w:w="2336" w:type="dxa"/>
          </w:tcPr>
          <w:p w:rsidR="00CD5296" w:rsidRDefault="00CD5296" w:rsidP="00870520">
            <w:pPr>
              <w:pStyle w:val="ListParagraph"/>
              <w:spacing w:line="480" w:lineRule="auto"/>
              <w:ind w:left="0"/>
              <w:jc w:val="center"/>
              <w:rPr>
                <w:sz w:val="24"/>
                <w:szCs w:val="24"/>
              </w:rPr>
            </w:pPr>
            <w:r>
              <w:rPr>
                <w:sz w:val="24"/>
                <w:szCs w:val="24"/>
              </w:rPr>
              <w:t>2</w:t>
            </w:r>
          </w:p>
        </w:tc>
        <w:tc>
          <w:tcPr>
            <w:tcW w:w="2336" w:type="dxa"/>
          </w:tcPr>
          <w:p w:rsidR="00CD5296" w:rsidRDefault="00CD5296" w:rsidP="00870520">
            <w:pPr>
              <w:pStyle w:val="ListParagraph"/>
              <w:spacing w:line="480" w:lineRule="auto"/>
              <w:ind w:left="0"/>
              <w:jc w:val="center"/>
              <w:rPr>
                <w:sz w:val="24"/>
                <w:szCs w:val="24"/>
              </w:rPr>
            </w:pPr>
            <w:r>
              <w:rPr>
                <w:sz w:val="24"/>
                <w:szCs w:val="24"/>
              </w:rPr>
              <w:t>0,68</w:t>
            </w:r>
          </w:p>
        </w:tc>
      </w:tr>
    </w:tbl>
    <w:p w:rsidR="00870520" w:rsidRDefault="00870520" w:rsidP="00870520">
      <w:pPr>
        <w:spacing w:after="0" w:line="480" w:lineRule="auto"/>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870520" w:rsidRDefault="00870520" w:rsidP="00A25C96">
      <w:pPr>
        <w:spacing w:after="0" w:line="480" w:lineRule="auto"/>
        <w:ind w:firstLine="720"/>
        <w:jc w:val="center"/>
        <w:rPr>
          <w:rFonts w:ascii="Times New Roman" w:hAnsi="Times New Roman" w:cs="Times New Roman"/>
          <w:b/>
          <w:sz w:val="24"/>
          <w:szCs w:val="24"/>
        </w:rPr>
      </w:pPr>
    </w:p>
    <w:p w:rsidR="00A25C96" w:rsidRDefault="00A25C96" w:rsidP="00BB1784">
      <w:pPr>
        <w:spacing w:after="0" w:line="480" w:lineRule="auto"/>
        <w:ind w:firstLine="720"/>
        <w:rPr>
          <w:rFonts w:ascii="Times New Roman" w:hAnsi="Times New Roman" w:cs="Times New Roman"/>
          <w:sz w:val="24"/>
          <w:szCs w:val="24"/>
        </w:rPr>
      </w:pPr>
    </w:p>
    <w:p w:rsidR="00BB1784" w:rsidRDefault="00BB1784" w:rsidP="00BB1784">
      <w:pPr>
        <w:spacing w:after="0" w:line="480" w:lineRule="auto"/>
        <w:ind w:firstLine="720"/>
        <w:rPr>
          <w:rFonts w:ascii="Times New Roman" w:hAnsi="Times New Roman" w:cs="Times New Roman"/>
          <w:sz w:val="24"/>
          <w:szCs w:val="24"/>
        </w:rPr>
      </w:pPr>
    </w:p>
    <w:p w:rsidR="00BB1784" w:rsidRDefault="00BB1784" w:rsidP="00BB1784">
      <w:pPr>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Sumber: Laporan Keuangan PT. Bank Bjb Syariah Periode 2010-2015</w:t>
      </w:r>
    </w:p>
    <w:p w:rsidR="001E142B" w:rsidRDefault="002525F6" w:rsidP="00BB178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4.2 diatas dapat dilihat bahwa presentase </w:t>
      </w:r>
      <w:r w:rsidRPr="002525F6">
        <w:rPr>
          <w:rFonts w:ascii="Times New Roman" w:hAnsi="Times New Roman" w:cs="Times New Roman"/>
          <w:i/>
          <w:sz w:val="24"/>
          <w:szCs w:val="24"/>
        </w:rPr>
        <w:t xml:space="preserve">Non Performing Financing </w:t>
      </w:r>
      <w:r>
        <w:rPr>
          <w:rFonts w:ascii="Times New Roman" w:hAnsi="Times New Roman" w:cs="Times New Roman"/>
          <w:sz w:val="24"/>
          <w:szCs w:val="24"/>
        </w:rPr>
        <w:t>(NPF) terkecil yang diperoleh PT. Bank Bjb Syariah selama periode 2010 hingga 2015 yaitu terjadi pada tahun 2011 sebesar 0,41%. Dengan jumlah presentase tersebut menunjukan bahwa PT. Bank Bjb Syariah dalam menjalankan kegiatan operasinya cukup efektif dan efisien dibandingkan dengan periode tahun 2015 karena NPF terbesar terjadi pada tahun tersebut sebesar 4,45%</w:t>
      </w:r>
      <w:r w:rsidR="00BB1784">
        <w:rPr>
          <w:rFonts w:ascii="Times New Roman" w:hAnsi="Times New Roman" w:cs="Times New Roman"/>
          <w:sz w:val="24"/>
          <w:szCs w:val="24"/>
        </w:rPr>
        <w:t xml:space="preserve"> dengan nilai rata-rata NPF sebesar 2%.</w:t>
      </w:r>
    </w:p>
    <w:p w:rsidR="00635658" w:rsidRDefault="00635658" w:rsidP="00BB178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lebih jelasnya perkembangan </w:t>
      </w:r>
      <w:r w:rsidRPr="00635658">
        <w:rPr>
          <w:rFonts w:ascii="Times New Roman" w:hAnsi="Times New Roman" w:cs="Times New Roman"/>
          <w:i/>
          <w:sz w:val="24"/>
          <w:szCs w:val="24"/>
        </w:rPr>
        <w:t>Non Performing Financing</w:t>
      </w:r>
      <w:r>
        <w:rPr>
          <w:rFonts w:ascii="Times New Roman" w:hAnsi="Times New Roman" w:cs="Times New Roman"/>
          <w:sz w:val="24"/>
          <w:szCs w:val="24"/>
        </w:rPr>
        <w:t xml:space="preserve"> (NPF) dapat dilihat pada gambar grafik 4.2 sebagai berikut:</w:t>
      </w:r>
    </w:p>
    <w:p w:rsidR="00BE36C6" w:rsidRDefault="00D808D6" w:rsidP="00BB1784">
      <w:pPr>
        <w:spacing w:after="0" w:line="480" w:lineRule="auto"/>
        <w:ind w:firstLine="720"/>
        <w:jc w:val="both"/>
        <w:rPr>
          <w:rFonts w:ascii="Times New Roman" w:hAnsi="Times New Roman" w:cs="Times New Roman"/>
          <w:sz w:val="24"/>
          <w:szCs w:val="24"/>
        </w:rPr>
      </w:pPr>
      <w:r>
        <w:rPr>
          <w:noProof/>
          <w:lang w:val="en-US" w:eastAsia="en-US"/>
        </w:rPr>
        <w:lastRenderedPageBreak/>
        <w:drawing>
          <wp:inline distT="0" distB="0" distL="0" distR="0" wp14:anchorId="0296BD33" wp14:editId="4CEB4373">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72D31" w:rsidRDefault="00C72D31" w:rsidP="00C72D31">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Gambar 4.2</w:t>
      </w:r>
    </w:p>
    <w:p w:rsidR="00C72D31" w:rsidRPr="00C72D31" w:rsidRDefault="00C72D31" w:rsidP="00C72D31">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sidRPr="00C72D31">
        <w:rPr>
          <w:rFonts w:ascii="Times New Roman" w:hAnsi="Times New Roman" w:cs="Times New Roman"/>
          <w:b/>
          <w:i/>
          <w:sz w:val="24"/>
          <w:szCs w:val="24"/>
        </w:rPr>
        <w:t>Non Performing Financing</w:t>
      </w:r>
      <w:r>
        <w:rPr>
          <w:rFonts w:ascii="Times New Roman" w:hAnsi="Times New Roman" w:cs="Times New Roman"/>
          <w:b/>
          <w:sz w:val="24"/>
          <w:szCs w:val="24"/>
        </w:rPr>
        <w:t>(NPF) Pada PT. Bank Bjb Syariah Periode 2010-2015</w:t>
      </w:r>
    </w:p>
    <w:p w:rsidR="0018644C" w:rsidRPr="008577B4" w:rsidRDefault="0018644C" w:rsidP="00084EEE">
      <w:pPr>
        <w:spacing w:after="0" w:line="480" w:lineRule="auto"/>
        <w:jc w:val="both"/>
        <w:rPr>
          <w:rFonts w:ascii="Times New Roman" w:hAnsi="Times New Roman" w:cs="Times New Roman"/>
          <w:sz w:val="24"/>
          <w:szCs w:val="24"/>
        </w:rPr>
      </w:pPr>
    </w:p>
    <w:p w:rsidR="004838C1" w:rsidRPr="008577B4" w:rsidRDefault="00870520" w:rsidP="00084EE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4.1.3</w:t>
      </w:r>
      <w:r w:rsidR="004838C1" w:rsidRPr="008577B4">
        <w:rPr>
          <w:rFonts w:ascii="Times New Roman" w:hAnsi="Times New Roman" w:cs="Times New Roman"/>
          <w:b/>
          <w:sz w:val="24"/>
          <w:szCs w:val="24"/>
        </w:rPr>
        <w:tab/>
        <w:t xml:space="preserve">Perkembangan </w:t>
      </w:r>
      <w:r w:rsidR="0018644C" w:rsidRPr="008577B4">
        <w:rPr>
          <w:rFonts w:ascii="Times New Roman" w:hAnsi="Times New Roman" w:cs="Times New Roman"/>
          <w:b/>
          <w:i/>
          <w:sz w:val="24"/>
          <w:szCs w:val="24"/>
        </w:rPr>
        <w:t>Return On Asset</w:t>
      </w:r>
      <w:r w:rsidR="0018644C" w:rsidRPr="008577B4">
        <w:rPr>
          <w:rFonts w:ascii="Times New Roman" w:hAnsi="Times New Roman" w:cs="Times New Roman"/>
          <w:b/>
          <w:sz w:val="24"/>
          <w:szCs w:val="24"/>
        </w:rPr>
        <w:t xml:space="preserve"> </w:t>
      </w:r>
      <w:r w:rsidR="00A25C96">
        <w:rPr>
          <w:rFonts w:ascii="Times New Roman" w:hAnsi="Times New Roman" w:cs="Times New Roman"/>
          <w:b/>
          <w:sz w:val="24"/>
          <w:szCs w:val="24"/>
        </w:rPr>
        <w:t>(ROA) pada Bank Bjb Syariah 2010-2015</w:t>
      </w:r>
    </w:p>
    <w:p w:rsidR="004838C1" w:rsidRDefault="0018644C" w:rsidP="00C72D31">
      <w:pPr>
        <w:spacing w:after="0" w:line="480" w:lineRule="auto"/>
        <w:ind w:firstLine="720"/>
        <w:jc w:val="both"/>
        <w:rPr>
          <w:rFonts w:ascii="Times New Roman" w:hAnsi="Times New Roman" w:cs="Times New Roman"/>
          <w:sz w:val="24"/>
          <w:szCs w:val="24"/>
        </w:rPr>
      </w:pPr>
      <w:r w:rsidRPr="008577B4">
        <w:rPr>
          <w:rFonts w:ascii="Times New Roman" w:hAnsi="Times New Roman" w:cs="Times New Roman"/>
          <w:i/>
          <w:sz w:val="24"/>
          <w:szCs w:val="24"/>
        </w:rPr>
        <w:t>Return On Asset</w:t>
      </w:r>
      <w:r w:rsidRPr="008577B4">
        <w:rPr>
          <w:rFonts w:ascii="Times New Roman" w:hAnsi="Times New Roman" w:cs="Times New Roman"/>
          <w:sz w:val="24"/>
          <w:szCs w:val="24"/>
        </w:rPr>
        <w:t xml:space="preserve"> </w:t>
      </w:r>
      <w:r w:rsidR="00192376">
        <w:rPr>
          <w:rFonts w:ascii="Times New Roman" w:hAnsi="Times New Roman" w:cs="Times New Roman"/>
          <w:sz w:val="24"/>
          <w:szCs w:val="24"/>
        </w:rPr>
        <w:t xml:space="preserve">(ROA) merupakan rasio yang digunakan untuk mengukur kemampuan manajemen bank dalam memperoleh laba secara </w:t>
      </w:r>
      <w:r w:rsidR="00A911FC">
        <w:rPr>
          <w:rFonts w:ascii="Times New Roman" w:hAnsi="Times New Roman" w:cs="Times New Roman"/>
          <w:sz w:val="24"/>
          <w:szCs w:val="24"/>
        </w:rPr>
        <w:t xml:space="preserve">keseluruhan. </w:t>
      </w:r>
      <w:r w:rsidR="00A911FC" w:rsidRPr="00A911FC">
        <w:rPr>
          <w:rFonts w:ascii="Times New Roman" w:hAnsi="Times New Roman" w:cs="Times New Roman"/>
          <w:i/>
          <w:sz w:val="24"/>
          <w:szCs w:val="24"/>
        </w:rPr>
        <w:t>Return On Asset</w:t>
      </w:r>
      <w:r w:rsidR="00A911FC">
        <w:rPr>
          <w:rFonts w:ascii="Times New Roman" w:hAnsi="Times New Roman" w:cs="Times New Roman"/>
          <w:sz w:val="24"/>
          <w:szCs w:val="24"/>
        </w:rPr>
        <w:t xml:space="preserve"> (ROA) dipilih sebagai indikator pengukur kinerja keuangan perbankan karena </w:t>
      </w:r>
      <w:r w:rsidR="00A911FC" w:rsidRPr="00A911FC">
        <w:rPr>
          <w:rFonts w:ascii="Times New Roman" w:hAnsi="Times New Roman" w:cs="Times New Roman"/>
          <w:i/>
          <w:sz w:val="24"/>
          <w:szCs w:val="24"/>
        </w:rPr>
        <w:t>Return On Asset</w:t>
      </w:r>
      <w:r w:rsidR="00A911FC">
        <w:rPr>
          <w:rFonts w:ascii="Times New Roman" w:hAnsi="Times New Roman" w:cs="Times New Roman"/>
          <w:sz w:val="24"/>
          <w:szCs w:val="24"/>
        </w:rPr>
        <w:t xml:space="preserve"> (ROA) digunakan untuk mengukur efektifitas perusahaan didalam menghasilkan keuntungan dengan memanfaatkan aktiva yang dimilikinya.</w:t>
      </w:r>
    </w:p>
    <w:p w:rsidR="00A911FC" w:rsidRDefault="00D11C31" w:rsidP="00C72D3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en-US"/>
        </w:rPr>
        <w:t xml:space="preserve">Adapun </w:t>
      </w:r>
      <w:r w:rsidR="00A911FC">
        <w:rPr>
          <w:rFonts w:ascii="Times New Roman" w:hAnsi="Times New Roman" w:cs="Times New Roman"/>
          <w:sz w:val="24"/>
          <w:szCs w:val="24"/>
        </w:rPr>
        <w:t xml:space="preserve">perkembangan </w:t>
      </w:r>
      <w:r w:rsidR="00A911FC" w:rsidRPr="00A911FC">
        <w:rPr>
          <w:rFonts w:ascii="Times New Roman" w:hAnsi="Times New Roman" w:cs="Times New Roman"/>
          <w:i/>
          <w:sz w:val="24"/>
          <w:szCs w:val="24"/>
        </w:rPr>
        <w:t>Return On Asset</w:t>
      </w:r>
      <w:r w:rsidR="00A911FC">
        <w:rPr>
          <w:rFonts w:ascii="Times New Roman" w:hAnsi="Times New Roman" w:cs="Times New Roman"/>
          <w:sz w:val="24"/>
          <w:szCs w:val="24"/>
        </w:rPr>
        <w:t xml:space="preserve"> (ROA) pada PT. Bank Bjb Syariah periode tahun 2010 hingga tahun 2015 dalam data yang disajikan pada tabel 4.3 berikut:</w:t>
      </w:r>
    </w:p>
    <w:p w:rsidR="00A911FC" w:rsidRDefault="00A911FC" w:rsidP="00C72D31">
      <w:pPr>
        <w:spacing w:after="0" w:line="480" w:lineRule="auto"/>
        <w:ind w:firstLine="720"/>
        <w:jc w:val="both"/>
        <w:rPr>
          <w:rFonts w:ascii="Times New Roman" w:hAnsi="Times New Roman" w:cs="Times New Roman"/>
          <w:sz w:val="24"/>
          <w:szCs w:val="24"/>
        </w:rPr>
      </w:pPr>
    </w:p>
    <w:p w:rsidR="00A911FC" w:rsidRDefault="00A911FC" w:rsidP="00C72D31">
      <w:pPr>
        <w:spacing w:after="0" w:line="480" w:lineRule="auto"/>
        <w:ind w:firstLine="720"/>
        <w:jc w:val="both"/>
        <w:rPr>
          <w:rFonts w:ascii="Times New Roman" w:hAnsi="Times New Roman" w:cs="Times New Roman"/>
          <w:sz w:val="24"/>
          <w:szCs w:val="24"/>
        </w:rPr>
      </w:pPr>
    </w:p>
    <w:p w:rsidR="00A911FC" w:rsidRDefault="00A911FC" w:rsidP="00A911FC">
      <w:pPr>
        <w:spacing w:after="0" w:line="480" w:lineRule="auto"/>
        <w:rPr>
          <w:rFonts w:ascii="Times New Roman" w:hAnsi="Times New Roman" w:cs="Times New Roman"/>
          <w:sz w:val="24"/>
          <w:szCs w:val="24"/>
        </w:rPr>
      </w:pPr>
    </w:p>
    <w:p w:rsidR="004C6EF6" w:rsidRDefault="004C6EF6" w:rsidP="00A911FC">
      <w:pPr>
        <w:spacing w:after="0" w:line="480" w:lineRule="auto"/>
        <w:rPr>
          <w:rFonts w:ascii="Times New Roman" w:hAnsi="Times New Roman" w:cs="Times New Roman"/>
          <w:sz w:val="24"/>
          <w:szCs w:val="24"/>
          <w:lang w:val="en-US"/>
        </w:rPr>
      </w:pPr>
    </w:p>
    <w:p w:rsidR="00311B4F" w:rsidRPr="00311B4F" w:rsidRDefault="00311B4F" w:rsidP="00A911FC">
      <w:pPr>
        <w:spacing w:after="0" w:line="480" w:lineRule="auto"/>
        <w:rPr>
          <w:rFonts w:ascii="Times New Roman" w:hAnsi="Times New Roman" w:cs="Times New Roman"/>
          <w:sz w:val="24"/>
          <w:szCs w:val="24"/>
          <w:lang w:val="en-US"/>
        </w:rPr>
      </w:pPr>
    </w:p>
    <w:p w:rsidR="00A911FC" w:rsidRPr="00A911FC" w:rsidRDefault="00A911FC" w:rsidP="00A911FC">
      <w:pPr>
        <w:spacing w:after="0" w:line="480" w:lineRule="auto"/>
        <w:jc w:val="center"/>
        <w:rPr>
          <w:rFonts w:ascii="Times New Roman" w:hAnsi="Times New Roman" w:cs="Times New Roman"/>
          <w:b/>
          <w:sz w:val="24"/>
          <w:szCs w:val="24"/>
        </w:rPr>
      </w:pPr>
      <w:r w:rsidRPr="00A911FC">
        <w:rPr>
          <w:rFonts w:ascii="Times New Roman" w:hAnsi="Times New Roman" w:cs="Times New Roman"/>
          <w:b/>
          <w:sz w:val="24"/>
          <w:szCs w:val="24"/>
        </w:rPr>
        <w:lastRenderedPageBreak/>
        <w:t>Tabel 4.3</w:t>
      </w:r>
    </w:p>
    <w:tbl>
      <w:tblPr>
        <w:tblStyle w:val="TableGrid"/>
        <w:tblpPr w:leftFromText="180" w:rightFromText="180" w:vertAnchor="text" w:horzAnchor="margin" w:tblpXSpec="center" w:tblpY="994"/>
        <w:tblW w:w="0" w:type="auto"/>
        <w:tblLook w:val="04A0" w:firstRow="1" w:lastRow="0" w:firstColumn="1" w:lastColumn="0" w:noHBand="0" w:noVBand="1"/>
      </w:tblPr>
      <w:tblGrid>
        <w:gridCol w:w="2336"/>
        <w:gridCol w:w="2336"/>
        <w:gridCol w:w="2336"/>
      </w:tblGrid>
      <w:tr w:rsidR="005555E6" w:rsidRPr="008577B4" w:rsidTr="001E142B">
        <w:trPr>
          <w:trHeight w:val="402"/>
        </w:trPr>
        <w:tc>
          <w:tcPr>
            <w:tcW w:w="2336" w:type="dxa"/>
          </w:tcPr>
          <w:p w:rsidR="005555E6" w:rsidRPr="008577B4" w:rsidRDefault="005555E6" w:rsidP="00084EEE">
            <w:pPr>
              <w:spacing w:after="0" w:line="480" w:lineRule="auto"/>
              <w:ind w:left="22" w:hanging="22"/>
              <w:jc w:val="center"/>
              <w:rPr>
                <w:rFonts w:ascii="Times New Roman" w:hAnsi="Times New Roman" w:cs="Times New Roman"/>
                <w:sz w:val="24"/>
                <w:szCs w:val="24"/>
              </w:rPr>
            </w:pPr>
            <w:r w:rsidRPr="008577B4">
              <w:rPr>
                <w:rFonts w:ascii="Times New Roman" w:hAnsi="Times New Roman" w:cs="Times New Roman"/>
                <w:sz w:val="24"/>
                <w:szCs w:val="24"/>
              </w:rPr>
              <w:t>Tahun</w:t>
            </w:r>
          </w:p>
        </w:tc>
        <w:tc>
          <w:tcPr>
            <w:tcW w:w="2336" w:type="dxa"/>
          </w:tcPr>
          <w:p w:rsidR="005555E6" w:rsidRPr="008577B4" w:rsidRDefault="005555E6" w:rsidP="00084EEE">
            <w:pPr>
              <w:spacing w:after="0" w:line="480" w:lineRule="auto"/>
              <w:jc w:val="center"/>
              <w:rPr>
                <w:rFonts w:ascii="Times New Roman" w:hAnsi="Times New Roman" w:cs="Times New Roman"/>
                <w:sz w:val="24"/>
                <w:szCs w:val="24"/>
              </w:rPr>
            </w:pPr>
            <w:r w:rsidRPr="008577B4">
              <w:rPr>
                <w:rFonts w:ascii="Times New Roman" w:hAnsi="Times New Roman" w:cs="Times New Roman"/>
                <w:sz w:val="24"/>
                <w:szCs w:val="24"/>
              </w:rPr>
              <w:t>ROA (%)</w:t>
            </w:r>
          </w:p>
        </w:tc>
        <w:tc>
          <w:tcPr>
            <w:tcW w:w="2336" w:type="dxa"/>
          </w:tcPr>
          <w:p w:rsidR="005555E6" w:rsidRPr="008577B4" w:rsidRDefault="005555E6"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Perkembangan (%)</w:t>
            </w:r>
          </w:p>
        </w:tc>
      </w:tr>
      <w:tr w:rsidR="005555E6" w:rsidRPr="008577B4" w:rsidTr="001E142B">
        <w:trPr>
          <w:trHeight w:val="559"/>
        </w:trPr>
        <w:tc>
          <w:tcPr>
            <w:tcW w:w="2336" w:type="dxa"/>
          </w:tcPr>
          <w:p w:rsidR="005555E6" w:rsidRPr="008577B4"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336" w:type="dxa"/>
          </w:tcPr>
          <w:p w:rsidR="005555E6" w:rsidRPr="00035B2A" w:rsidRDefault="001E142B" w:rsidP="00084EEE">
            <w:pPr>
              <w:pStyle w:val="ListParagraph"/>
              <w:spacing w:line="480" w:lineRule="auto"/>
              <w:ind w:left="0"/>
              <w:jc w:val="center"/>
              <w:rPr>
                <w:sz w:val="24"/>
                <w:szCs w:val="24"/>
              </w:rPr>
            </w:pPr>
            <w:r>
              <w:rPr>
                <w:sz w:val="24"/>
                <w:szCs w:val="24"/>
              </w:rPr>
              <w:t>0,72</w:t>
            </w:r>
          </w:p>
        </w:tc>
        <w:tc>
          <w:tcPr>
            <w:tcW w:w="2336" w:type="dxa"/>
          </w:tcPr>
          <w:p w:rsidR="005555E6" w:rsidRPr="00035B2A" w:rsidRDefault="005555E6" w:rsidP="00084EEE">
            <w:pPr>
              <w:pStyle w:val="ListParagraph"/>
              <w:spacing w:line="480" w:lineRule="auto"/>
              <w:ind w:left="0"/>
              <w:jc w:val="center"/>
              <w:rPr>
                <w:sz w:val="24"/>
                <w:szCs w:val="24"/>
              </w:rPr>
            </w:pPr>
          </w:p>
        </w:tc>
      </w:tr>
      <w:tr w:rsidR="005555E6" w:rsidRPr="008577B4" w:rsidTr="001E142B">
        <w:trPr>
          <w:trHeight w:val="559"/>
        </w:trPr>
        <w:tc>
          <w:tcPr>
            <w:tcW w:w="2336" w:type="dxa"/>
          </w:tcPr>
          <w:p w:rsidR="005555E6" w:rsidRPr="008577B4"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336" w:type="dxa"/>
          </w:tcPr>
          <w:p w:rsidR="005555E6" w:rsidRPr="00035B2A" w:rsidRDefault="001E142B" w:rsidP="00084EEE">
            <w:pPr>
              <w:pStyle w:val="ListParagraph"/>
              <w:spacing w:line="480" w:lineRule="auto"/>
              <w:ind w:left="0"/>
              <w:jc w:val="center"/>
              <w:rPr>
                <w:sz w:val="24"/>
                <w:szCs w:val="24"/>
              </w:rPr>
            </w:pPr>
            <w:r>
              <w:rPr>
                <w:sz w:val="24"/>
                <w:szCs w:val="24"/>
              </w:rPr>
              <w:t>1,23</w:t>
            </w:r>
          </w:p>
        </w:tc>
        <w:tc>
          <w:tcPr>
            <w:tcW w:w="2336" w:type="dxa"/>
          </w:tcPr>
          <w:p w:rsidR="005555E6" w:rsidRPr="00035B2A" w:rsidRDefault="00243E39" w:rsidP="00084EEE">
            <w:pPr>
              <w:pStyle w:val="ListParagraph"/>
              <w:spacing w:line="480" w:lineRule="auto"/>
              <w:ind w:left="0"/>
              <w:jc w:val="center"/>
              <w:rPr>
                <w:sz w:val="24"/>
                <w:szCs w:val="24"/>
              </w:rPr>
            </w:pPr>
            <w:r>
              <w:rPr>
                <w:sz w:val="24"/>
                <w:szCs w:val="24"/>
              </w:rPr>
              <w:t>0,51</w:t>
            </w:r>
          </w:p>
        </w:tc>
      </w:tr>
      <w:tr w:rsidR="005555E6" w:rsidRPr="008577B4" w:rsidTr="001E142B">
        <w:trPr>
          <w:trHeight w:val="559"/>
        </w:trPr>
        <w:tc>
          <w:tcPr>
            <w:tcW w:w="2336" w:type="dxa"/>
          </w:tcPr>
          <w:p w:rsidR="005555E6" w:rsidRPr="008577B4"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336" w:type="dxa"/>
          </w:tcPr>
          <w:p w:rsidR="005555E6" w:rsidRPr="00035B2A" w:rsidRDefault="001E142B" w:rsidP="00084EEE">
            <w:pPr>
              <w:pStyle w:val="ListParagraph"/>
              <w:spacing w:line="480" w:lineRule="auto"/>
              <w:ind w:left="0"/>
              <w:jc w:val="center"/>
              <w:rPr>
                <w:sz w:val="24"/>
                <w:szCs w:val="24"/>
              </w:rPr>
            </w:pPr>
            <w:r>
              <w:rPr>
                <w:sz w:val="24"/>
                <w:szCs w:val="24"/>
              </w:rPr>
              <w:t>-0,59</w:t>
            </w:r>
          </w:p>
        </w:tc>
        <w:tc>
          <w:tcPr>
            <w:tcW w:w="2336" w:type="dxa"/>
          </w:tcPr>
          <w:p w:rsidR="005555E6" w:rsidRPr="00035B2A" w:rsidRDefault="00243E39" w:rsidP="00084EEE">
            <w:pPr>
              <w:pStyle w:val="ListParagraph"/>
              <w:spacing w:line="480" w:lineRule="auto"/>
              <w:ind w:left="0"/>
              <w:jc w:val="center"/>
              <w:rPr>
                <w:sz w:val="24"/>
                <w:szCs w:val="24"/>
              </w:rPr>
            </w:pPr>
            <w:r>
              <w:rPr>
                <w:sz w:val="24"/>
                <w:szCs w:val="24"/>
              </w:rPr>
              <w:t>-1,82</w:t>
            </w:r>
          </w:p>
        </w:tc>
      </w:tr>
      <w:tr w:rsidR="005555E6" w:rsidRPr="008577B4" w:rsidTr="001E142B">
        <w:trPr>
          <w:trHeight w:val="559"/>
        </w:trPr>
        <w:tc>
          <w:tcPr>
            <w:tcW w:w="2336" w:type="dxa"/>
          </w:tcPr>
          <w:p w:rsidR="005555E6" w:rsidRPr="008577B4"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336" w:type="dxa"/>
          </w:tcPr>
          <w:p w:rsidR="005555E6" w:rsidRPr="00035B2A" w:rsidRDefault="001E142B" w:rsidP="00084EEE">
            <w:pPr>
              <w:pStyle w:val="ListParagraph"/>
              <w:spacing w:line="480" w:lineRule="auto"/>
              <w:ind w:left="0"/>
              <w:jc w:val="center"/>
              <w:rPr>
                <w:sz w:val="24"/>
                <w:szCs w:val="24"/>
              </w:rPr>
            </w:pPr>
            <w:r>
              <w:rPr>
                <w:sz w:val="24"/>
                <w:szCs w:val="24"/>
              </w:rPr>
              <w:t>0,91</w:t>
            </w:r>
          </w:p>
        </w:tc>
        <w:tc>
          <w:tcPr>
            <w:tcW w:w="2336" w:type="dxa"/>
          </w:tcPr>
          <w:p w:rsidR="005555E6" w:rsidRPr="00035B2A" w:rsidRDefault="00243E39" w:rsidP="00084EEE">
            <w:pPr>
              <w:pStyle w:val="ListParagraph"/>
              <w:spacing w:line="480" w:lineRule="auto"/>
              <w:ind w:left="0"/>
              <w:jc w:val="center"/>
              <w:rPr>
                <w:sz w:val="24"/>
                <w:szCs w:val="24"/>
              </w:rPr>
            </w:pPr>
            <w:r>
              <w:rPr>
                <w:sz w:val="24"/>
                <w:szCs w:val="24"/>
              </w:rPr>
              <w:t>1,5</w:t>
            </w:r>
          </w:p>
        </w:tc>
      </w:tr>
      <w:tr w:rsidR="005555E6" w:rsidRPr="008577B4" w:rsidTr="001E142B">
        <w:trPr>
          <w:trHeight w:val="548"/>
        </w:trPr>
        <w:tc>
          <w:tcPr>
            <w:tcW w:w="2336" w:type="dxa"/>
          </w:tcPr>
          <w:p w:rsidR="005555E6" w:rsidRPr="008577B4"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336" w:type="dxa"/>
          </w:tcPr>
          <w:p w:rsidR="005555E6" w:rsidRPr="00035B2A" w:rsidRDefault="001E142B" w:rsidP="00084EEE">
            <w:pPr>
              <w:pStyle w:val="ListParagraph"/>
              <w:spacing w:line="480" w:lineRule="auto"/>
              <w:ind w:left="0"/>
              <w:jc w:val="center"/>
              <w:rPr>
                <w:sz w:val="24"/>
                <w:szCs w:val="24"/>
              </w:rPr>
            </w:pPr>
            <w:r>
              <w:rPr>
                <w:sz w:val="24"/>
                <w:szCs w:val="24"/>
              </w:rPr>
              <w:t>0,69</w:t>
            </w:r>
          </w:p>
        </w:tc>
        <w:tc>
          <w:tcPr>
            <w:tcW w:w="2336" w:type="dxa"/>
          </w:tcPr>
          <w:p w:rsidR="005555E6" w:rsidRPr="00035B2A" w:rsidRDefault="00243E39" w:rsidP="00084EEE">
            <w:pPr>
              <w:pStyle w:val="ListParagraph"/>
              <w:spacing w:line="480" w:lineRule="auto"/>
              <w:ind w:left="0"/>
              <w:jc w:val="center"/>
              <w:rPr>
                <w:sz w:val="24"/>
                <w:szCs w:val="24"/>
              </w:rPr>
            </w:pPr>
            <w:r>
              <w:rPr>
                <w:sz w:val="24"/>
                <w:szCs w:val="24"/>
              </w:rPr>
              <w:t>-0,22</w:t>
            </w:r>
          </w:p>
        </w:tc>
      </w:tr>
      <w:tr w:rsidR="001E142B" w:rsidRPr="008577B4" w:rsidTr="001E142B">
        <w:trPr>
          <w:trHeight w:val="548"/>
        </w:trPr>
        <w:tc>
          <w:tcPr>
            <w:tcW w:w="2336" w:type="dxa"/>
          </w:tcPr>
          <w:p w:rsidR="001E142B" w:rsidRDefault="001E142B"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2336" w:type="dxa"/>
          </w:tcPr>
          <w:p w:rsidR="001E142B" w:rsidRPr="00035B2A" w:rsidRDefault="00463ECA" w:rsidP="00084EEE">
            <w:pPr>
              <w:pStyle w:val="ListParagraph"/>
              <w:spacing w:line="480" w:lineRule="auto"/>
              <w:ind w:left="0"/>
              <w:jc w:val="center"/>
              <w:rPr>
                <w:sz w:val="24"/>
                <w:szCs w:val="24"/>
              </w:rPr>
            </w:pPr>
            <w:r>
              <w:rPr>
                <w:sz w:val="24"/>
                <w:szCs w:val="24"/>
              </w:rPr>
              <w:t>0,25</w:t>
            </w:r>
          </w:p>
        </w:tc>
        <w:tc>
          <w:tcPr>
            <w:tcW w:w="2336" w:type="dxa"/>
          </w:tcPr>
          <w:p w:rsidR="001E142B" w:rsidRDefault="00243E39" w:rsidP="00084EEE">
            <w:pPr>
              <w:pStyle w:val="ListParagraph"/>
              <w:spacing w:line="480" w:lineRule="auto"/>
              <w:ind w:left="0"/>
              <w:jc w:val="center"/>
              <w:rPr>
                <w:sz w:val="24"/>
                <w:szCs w:val="24"/>
              </w:rPr>
            </w:pPr>
            <w:r>
              <w:rPr>
                <w:sz w:val="24"/>
                <w:szCs w:val="24"/>
              </w:rPr>
              <w:t>-0,44</w:t>
            </w:r>
          </w:p>
        </w:tc>
      </w:tr>
      <w:tr w:rsidR="00A911FC" w:rsidRPr="008577B4" w:rsidTr="001E142B">
        <w:trPr>
          <w:trHeight w:val="548"/>
        </w:trPr>
        <w:tc>
          <w:tcPr>
            <w:tcW w:w="2336" w:type="dxa"/>
          </w:tcPr>
          <w:p w:rsidR="00A911FC" w:rsidRDefault="00A911FC" w:rsidP="00084EEE">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Rata-rata</w:t>
            </w:r>
          </w:p>
        </w:tc>
        <w:tc>
          <w:tcPr>
            <w:tcW w:w="2336" w:type="dxa"/>
          </w:tcPr>
          <w:p w:rsidR="00A911FC" w:rsidRDefault="00243E39" w:rsidP="00084EEE">
            <w:pPr>
              <w:pStyle w:val="ListParagraph"/>
              <w:spacing w:line="480" w:lineRule="auto"/>
              <w:ind w:left="0"/>
              <w:jc w:val="center"/>
              <w:rPr>
                <w:sz w:val="24"/>
                <w:szCs w:val="24"/>
              </w:rPr>
            </w:pPr>
            <w:r>
              <w:rPr>
                <w:sz w:val="24"/>
                <w:szCs w:val="24"/>
              </w:rPr>
              <w:t>0,53</w:t>
            </w:r>
          </w:p>
        </w:tc>
        <w:tc>
          <w:tcPr>
            <w:tcW w:w="2336" w:type="dxa"/>
          </w:tcPr>
          <w:p w:rsidR="00A911FC" w:rsidRDefault="00243E39" w:rsidP="00084EEE">
            <w:pPr>
              <w:pStyle w:val="ListParagraph"/>
              <w:spacing w:line="480" w:lineRule="auto"/>
              <w:ind w:left="0"/>
              <w:jc w:val="center"/>
              <w:rPr>
                <w:sz w:val="24"/>
                <w:szCs w:val="24"/>
              </w:rPr>
            </w:pPr>
            <w:r>
              <w:rPr>
                <w:sz w:val="24"/>
                <w:szCs w:val="24"/>
              </w:rPr>
              <w:t>-0,09</w:t>
            </w:r>
          </w:p>
        </w:tc>
      </w:tr>
    </w:tbl>
    <w:p w:rsidR="00FA64C8" w:rsidRPr="00A25C96" w:rsidRDefault="00223EC1" w:rsidP="00A911FC">
      <w:pPr>
        <w:spacing w:after="0" w:line="480" w:lineRule="auto"/>
        <w:jc w:val="center"/>
        <w:rPr>
          <w:rFonts w:ascii="Times New Roman" w:hAnsi="Times New Roman" w:cs="Times New Roman"/>
          <w:b/>
          <w:sz w:val="24"/>
          <w:szCs w:val="24"/>
        </w:rPr>
      </w:pPr>
      <w:r w:rsidRPr="008577B4">
        <w:rPr>
          <w:rFonts w:ascii="Times New Roman" w:hAnsi="Times New Roman" w:cs="Times New Roman"/>
          <w:b/>
          <w:sz w:val="24"/>
          <w:szCs w:val="24"/>
        </w:rPr>
        <w:t xml:space="preserve">Perkembangan </w:t>
      </w:r>
      <w:r w:rsidRPr="008577B4">
        <w:rPr>
          <w:rFonts w:ascii="Times New Roman" w:hAnsi="Times New Roman" w:cs="Times New Roman"/>
          <w:b/>
          <w:i/>
          <w:sz w:val="24"/>
          <w:szCs w:val="24"/>
        </w:rPr>
        <w:t xml:space="preserve">Return On Asset </w:t>
      </w:r>
      <w:r w:rsidRPr="008577B4">
        <w:rPr>
          <w:rFonts w:ascii="Times New Roman" w:hAnsi="Times New Roman" w:cs="Times New Roman"/>
          <w:b/>
          <w:sz w:val="24"/>
          <w:szCs w:val="24"/>
        </w:rPr>
        <w:t>(ROA</w:t>
      </w:r>
      <w:r w:rsidR="001E142B">
        <w:rPr>
          <w:rFonts w:ascii="Times New Roman" w:hAnsi="Times New Roman" w:cs="Times New Roman"/>
          <w:b/>
          <w:sz w:val="24"/>
          <w:szCs w:val="24"/>
        </w:rPr>
        <w:t>)  Bank Bjb Syariah Periode 2010</w:t>
      </w:r>
      <w:r w:rsidRPr="008577B4">
        <w:rPr>
          <w:rFonts w:ascii="Times New Roman" w:hAnsi="Times New Roman" w:cs="Times New Roman"/>
          <w:b/>
          <w:sz w:val="24"/>
          <w:szCs w:val="24"/>
        </w:rPr>
        <w:t>-2015</w:t>
      </w:r>
    </w:p>
    <w:p w:rsidR="004838C1" w:rsidRDefault="00A911FC" w:rsidP="00A911FC">
      <w:pPr>
        <w:spacing w:after="0" w:line="480" w:lineRule="auto"/>
        <w:ind w:firstLine="720"/>
        <w:jc w:val="both"/>
        <w:rPr>
          <w:rFonts w:ascii="Times New Roman" w:hAnsi="Times New Roman" w:cs="Times New Roman"/>
          <w:b/>
          <w:sz w:val="24"/>
          <w:szCs w:val="24"/>
        </w:rPr>
      </w:pPr>
      <w:r>
        <w:rPr>
          <w:rFonts w:ascii="Times New Roman" w:hAnsi="Times New Roman" w:cs="Times New Roman"/>
          <w:b/>
          <w:sz w:val="24"/>
          <w:szCs w:val="24"/>
        </w:rPr>
        <w:t>Sumber: Laporan Keuangan PT. Bank Bjb Syariah Periode 2010-2015</w:t>
      </w:r>
      <w:bookmarkEnd w:id="0"/>
    </w:p>
    <w:p w:rsidR="00223EC1" w:rsidRDefault="0058508E" w:rsidP="00A911F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 diatas, dapat dilihat bahwa jumlah </w:t>
      </w:r>
      <w:r w:rsidRPr="0058508E">
        <w:rPr>
          <w:rFonts w:ascii="Times New Roman" w:hAnsi="Times New Roman" w:cs="Times New Roman"/>
          <w:i/>
          <w:sz w:val="24"/>
          <w:szCs w:val="24"/>
        </w:rPr>
        <w:t>Return On Asset</w:t>
      </w:r>
      <w:r>
        <w:rPr>
          <w:rFonts w:ascii="Times New Roman" w:hAnsi="Times New Roman" w:cs="Times New Roman"/>
          <w:sz w:val="24"/>
          <w:szCs w:val="24"/>
        </w:rPr>
        <w:t xml:space="preserve"> (ROA) terbesar pada PT. Bank Bjb Syariah Periode 2010-2015 terjadi pada tahun 2011 yaitu sebesar 1,23%. Dari data diatas juga dapat diketahui tingkat </w:t>
      </w:r>
      <w:r>
        <w:rPr>
          <w:rFonts w:ascii="Times New Roman" w:hAnsi="Times New Roman" w:cs="Times New Roman"/>
          <w:i/>
          <w:sz w:val="24"/>
          <w:szCs w:val="24"/>
        </w:rPr>
        <w:t>Return On Asset</w:t>
      </w:r>
      <w:r>
        <w:rPr>
          <w:rFonts w:ascii="Times New Roman" w:hAnsi="Times New Roman" w:cs="Times New Roman"/>
          <w:sz w:val="24"/>
          <w:szCs w:val="24"/>
        </w:rPr>
        <w:t xml:space="preserve"> (ROA) terendah terjadi pada tahun 2015 sebesar 0,25%. Dengan rata-rata nilai ROA selama periode 2010 hingga 2015 yaitu sebesar </w:t>
      </w:r>
      <w:r w:rsidR="004C6EF6">
        <w:rPr>
          <w:rFonts w:ascii="Times New Roman" w:hAnsi="Times New Roman" w:cs="Times New Roman"/>
          <w:sz w:val="24"/>
          <w:szCs w:val="24"/>
        </w:rPr>
        <w:t xml:space="preserve">0,53%. Berdasarkan Edaran Bank Indonesia No.9/24/DPbS Tahun 2007 bank dikatakan sehat apabila ROA &gt; 1,5% sedangkan rara-rata ROA pada PT. Bank Bjb Syariah yaitu sebesar 0.53% dan dapat dikatakan bahwa kinerja PT. Bank Bjb Syariah cukup sehat atau cukup baik. Untuk lebih jelasnya perkembangan </w:t>
      </w:r>
      <w:r w:rsidR="004C6EF6" w:rsidRPr="004C6EF6">
        <w:rPr>
          <w:rFonts w:ascii="Times New Roman" w:hAnsi="Times New Roman" w:cs="Times New Roman"/>
          <w:i/>
          <w:sz w:val="24"/>
          <w:szCs w:val="24"/>
        </w:rPr>
        <w:t>Return On Asset</w:t>
      </w:r>
      <w:r w:rsidR="004C6EF6">
        <w:rPr>
          <w:rFonts w:ascii="Times New Roman" w:hAnsi="Times New Roman" w:cs="Times New Roman"/>
          <w:sz w:val="24"/>
          <w:szCs w:val="24"/>
        </w:rPr>
        <w:t xml:space="preserve"> (ROA) dapat dilihat melalui grafik berikut ini:</w:t>
      </w:r>
    </w:p>
    <w:p w:rsidR="004838C1" w:rsidRPr="008577B4" w:rsidRDefault="00D74617" w:rsidP="004C6EF6">
      <w:pPr>
        <w:spacing w:after="0" w:line="480" w:lineRule="auto"/>
        <w:ind w:firstLine="720"/>
        <w:jc w:val="both"/>
        <w:rPr>
          <w:rFonts w:ascii="Times New Roman" w:hAnsi="Times New Roman" w:cs="Times New Roman"/>
          <w:sz w:val="24"/>
          <w:szCs w:val="24"/>
        </w:rPr>
      </w:pPr>
      <w:r>
        <w:rPr>
          <w:noProof/>
          <w:lang w:val="en-US" w:eastAsia="en-US"/>
        </w:rPr>
        <w:lastRenderedPageBreak/>
        <w:drawing>
          <wp:inline distT="0" distB="0" distL="0" distR="0" wp14:anchorId="299903B7" wp14:editId="4C3D3537">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6EF6" w:rsidRDefault="004C6EF6" w:rsidP="00084EEE">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4.3</w:t>
      </w:r>
      <w:r w:rsidR="00223EC1" w:rsidRPr="008577B4">
        <w:rPr>
          <w:rFonts w:ascii="Times New Roman" w:hAnsi="Times New Roman" w:cs="Times New Roman"/>
          <w:b/>
          <w:sz w:val="24"/>
          <w:szCs w:val="24"/>
        </w:rPr>
        <w:t xml:space="preserve"> </w:t>
      </w:r>
    </w:p>
    <w:p w:rsidR="00122798" w:rsidRPr="004C6EF6" w:rsidRDefault="00223EC1" w:rsidP="004C6EF6">
      <w:pPr>
        <w:spacing w:after="0" w:line="480" w:lineRule="auto"/>
        <w:jc w:val="center"/>
        <w:rPr>
          <w:rFonts w:ascii="Times New Roman" w:hAnsi="Times New Roman" w:cs="Times New Roman"/>
          <w:b/>
          <w:sz w:val="24"/>
          <w:szCs w:val="24"/>
        </w:rPr>
      </w:pPr>
      <w:r w:rsidRPr="008577B4">
        <w:rPr>
          <w:rFonts w:ascii="Times New Roman" w:hAnsi="Times New Roman" w:cs="Times New Roman"/>
          <w:b/>
          <w:sz w:val="24"/>
          <w:szCs w:val="24"/>
        </w:rPr>
        <w:t xml:space="preserve">Perkembangan </w:t>
      </w:r>
      <w:r w:rsidRPr="008577B4">
        <w:rPr>
          <w:rFonts w:ascii="Times New Roman" w:hAnsi="Times New Roman" w:cs="Times New Roman"/>
          <w:b/>
          <w:i/>
          <w:sz w:val="24"/>
          <w:szCs w:val="24"/>
        </w:rPr>
        <w:t xml:space="preserve">Return On Asset </w:t>
      </w:r>
      <w:r w:rsidRPr="008577B4">
        <w:rPr>
          <w:rFonts w:ascii="Times New Roman" w:hAnsi="Times New Roman" w:cs="Times New Roman"/>
          <w:b/>
          <w:sz w:val="24"/>
          <w:szCs w:val="24"/>
        </w:rPr>
        <w:t>(ROA)</w:t>
      </w:r>
      <w:r w:rsidR="004838C1" w:rsidRPr="008577B4">
        <w:rPr>
          <w:rFonts w:ascii="Times New Roman" w:hAnsi="Times New Roman" w:cs="Times New Roman"/>
          <w:b/>
          <w:sz w:val="24"/>
          <w:szCs w:val="24"/>
        </w:rPr>
        <w:t xml:space="preserve">PT. Bank </w:t>
      </w:r>
      <w:r w:rsidR="004C6EF6">
        <w:rPr>
          <w:rFonts w:ascii="Times New Roman" w:hAnsi="Times New Roman" w:cs="Times New Roman"/>
          <w:b/>
          <w:sz w:val="24"/>
          <w:szCs w:val="24"/>
        </w:rPr>
        <w:t xml:space="preserve">Bjb Syariah Periode 2010-2015 </w:t>
      </w:r>
    </w:p>
    <w:p w:rsidR="00964E55" w:rsidRPr="008577B4" w:rsidRDefault="00964E55" w:rsidP="00084EEE">
      <w:pPr>
        <w:spacing w:after="0" w:line="480" w:lineRule="auto"/>
        <w:jc w:val="both"/>
        <w:rPr>
          <w:rFonts w:ascii="Times New Roman" w:hAnsi="Times New Roman" w:cs="Times New Roman"/>
          <w:sz w:val="24"/>
          <w:szCs w:val="24"/>
        </w:rPr>
      </w:pPr>
    </w:p>
    <w:p w:rsidR="004838C1" w:rsidRPr="008577B4" w:rsidRDefault="00C72FCF" w:rsidP="00084EEE">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4.2</w:t>
      </w:r>
      <w:r>
        <w:rPr>
          <w:rFonts w:ascii="Times New Roman" w:hAnsi="Times New Roman" w:cs="Times New Roman"/>
          <w:b/>
          <w:sz w:val="24"/>
          <w:szCs w:val="24"/>
        </w:rPr>
        <w:tab/>
        <w:t>Hasil Uji Hipotesis</w:t>
      </w:r>
      <w:r w:rsidR="00F1507D" w:rsidRPr="008577B4">
        <w:rPr>
          <w:rFonts w:ascii="Times New Roman" w:hAnsi="Times New Roman" w:cs="Times New Roman"/>
          <w:b/>
          <w:sz w:val="24"/>
          <w:szCs w:val="24"/>
        </w:rPr>
        <w:t xml:space="preserve"> </w:t>
      </w:r>
    </w:p>
    <w:p w:rsidR="004838C1" w:rsidRPr="008577B4" w:rsidRDefault="00C72FCF" w:rsidP="00084EEE">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4.2.1</w:t>
      </w:r>
      <w:r>
        <w:rPr>
          <w:rFonts w:ascii="Times New Roman" w:hAnsi="Times New Roman" w:cs="Times New Roman"/>
          <w:b/>
          <w:sz w:val="24"/>
          <w:szCs w:val="24"/>
        </w:rPr>
        <w:tab/>
        <w:t>Uji Asumsi Klasik</w:t>
      </w:r>
    </w:p>
    <w:p w:rsidR="004838C1" w:rsidRDefault="00C72FCF" w:rsidP="00084EE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Sebelum melakukan uji regresi liniear berganda dalam penelitian terlebih dahulu penulis melakukan uji asumsi klasik. Uji asumsi klasik terdiri dari uji autokorelasi, uji normalitas, uji hesteroskedastistas, dan uji multikorelasi. Apabila uji asumsi klasik sudah terpenuhi maka selanjutnya akan dilakukan uji regresi linier berganda, koefisian korelasi, koefisien determinasi, dan uji hipotesis yang terdiri dari uji f secara simultan dan uji t secara parsial.</w:t>
      </w:r>
    </w:p>
    <w:p w:rsidR="00A73B68" w:rsidRDefault="00A73B68" w:rsidP="00084EEE">
      <w:pPr>
        <w:spacing w:after="0" w:line="480" w:lineRule="auto"/>
        <w:jc w:val="both"/>
        <w:rPr>
          <w:rFonts w:ascii="Times New Roman" w:hAnsi="Times New Roman" w:cs="Times New Roman"/>
          <w:sz w:val="24"/>
          <w:szCs w:val="24"/>
        </w:rPr>
      </w:pPr>
    </w:p>
    <w:p w:rsidR="00A73B68" w:rsidRDefault="00A73B68" w:rsidP="00084EEE">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4.2.1.1 Uji Normalitas</w:t>
      </w:r>
    </w:p>
    <w:p w:rsidR="00A73B68" w:rsidRPr="00A73B68" w:rsidRDefault="00A73B68" w:rsidP="00084EEE">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Untuk menguji normalitas data, penelitian ini menggunakan dua buah pengujian yaitu uji normalitas dengan normal P-Plot dan uji Kolmogorov-Smirnov (K-S). Berikut dibawah ini merupaka gambar dari hasil uji normal P-Plot pada uji normalitas:</w:t>
      </w:r>
    </w:p>
    <w:p w:rsidR="00A73B68" w:rsidRDefault="00A73B68" w:rsidP="00084EEE">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lastRenderedPageBreak/>
        <w:drawing>
          <wp:inline distT="0" distB="0" distL="0" distR="0" wp14:anchorId="3B39E322" wp14:editId="36CB5D21">
            <wp:extent cx="5400040" cy="3175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40" cy="3175985"/>
                    </a:xfrm>
                    <a:prstGeom prst="rect">
                      <a:avLst/>
                    </a:prstGeom>
                    <a:noFill/>
                    <a:ln>
                      <a:noFill/>
                    </a:ln>
                  </pic:spPr>
                </pic:pic>
              </a:graphicData>
            </a:graphic>
          </wp:inline>
        </w:drawing>
      </w:r>
    </w:p>
    <w:p w:rsidR="0026210B" w:rsidRDefault="00A73B68" w:rsidP="00A73B6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4.4 Uji Normalitas dengan Normal P-Plot</w:t>
      </w:r>
    </w:p>
    <w:p w:rsidR="0026210B" w:rsidRDefault="00A73B68" w:rsidP="0013302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SPSS 25 data sekunder,2018</w:t>
      </w:r>
    </w:p>
    <w:p w:rsidR="0013302C" w:rsidRDefault="0013302C" w:rsidP="0013302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grafik Normal </w:t>
      </w:r>
      <w:r w:rsidRPr="0013302C">
        <w:rPr>
          <w:rFonts w:ascii="Times New Roman" w:hAnsi="Times New Roman" w:cs="Times New Roman"/>
          <w:i/>
          <w:sz w:val="24"/>
          <w:szCs w:val="24"/>
        </w:rPr>
        <w:t>Probability</w:t>
      </w:r>
      <w:r>
        <w:rPr>
          <w:rFonts w:ascii="Times New Roman" w:hAnsi="Times New Roman" w:cs="Times New Roman"/>
          <w:sz w:val="24"/>
          <w:szCs w:val="24"/>
        </w:rPr>
        <w:t xml:space="preserve"> Plot diatas, dapat disimpulkan bahwa da</w:t>
      </w:r>
      <w:r w:rsidR="00311B4F">
        <w:rPr>
          <w:rFonts w:ascii="Times New Roman" w:hAnsi="Times New Roman" w:cs="Times New Roman"/>
          <w:sz w:val="24"/>
          <w:szCs w:val="24"/>
        </w:rPr>
        <w:t>ta (titik-titik) menyebar di</w:t>
      </w:r>
      <w:r w:rsidR="00311B4F">
        <w:rPr>
          <w:rFonts w:ascii="Times New Roman" w:hAnsi="Times New Roman" w:cs="Times New Roman"/>
          <w:sz w:val="24"/>
          <w:szCs w:val="24"/>
          <w:lang w:val="en-US"/>
        </w:rPr>
        <w:t xml:space="preserve"> </w:t>
      </w:r>
      <w:r>
        <w:rPr>
          <w:rFonts w:ascii="Times New Roman" w:hAnsi="Times New Roman" w:cs="Times New Roman"/>
          <w:sz w:val="24"/>
          <w:szCs w:val="24"/>
        </w:rPr>
        <w:t>sekitar garis diagonal dan mengikuti arah garis diagonal yang menunjukan bahwa pola berdistribusi normal, maka model regresi memenuhi asumsi normalitas.</w:t>
      </w:r>
    </w:p>
    <w:p w:rsidR="0013302C" w:rsidRDefault="0013302C" w:rsidP="0013302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ini merupakan uji normalitas yang terakhir dengan menggunakan uji </w:t>
      </w:r>
      <w:r w:rsidRPr="0013302C">
        <w:rPr>
          <w:rFonts w:ascii="Times New Roman" w:hAnsi="Times New Roman" w:cs="Times New Roman"/>
          <w:i/>
          <w:sz w:val="24"/>
          <w:szCs w:val="24"/>
        </w:rPr>
        <w:t xml:space="preserve">Kolmogorov-Smirnov </w:t>
      </w:r>
      <w:r>
        <w:rPr>
          <w:rFonts w:ascii="Times New Roman" w:hAnsi="Times New Roman" w:cs="Times New Roman"/>
          <w:sz w:val="24"/>
          <w:szCs w:val="24"/>
        </w:rPr>
        <w:t>(K-S):</w:t>
      </w:r>
    </w:p>
    <w:p w:rsidR="004C6EF6" w:rsidRDefault="007C1316" w:rsidP="007C1316">
      <w:pPr>
        <w:tabs>
          <w:tab w:val="left" w:pos="2595"/>
        </w:tabs>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b/>
      </w:r>
    </w:p>
    <w:p w:rsidR="004C6EF6" w:rsidRDefault="004C6EF6" w:rsidP="0013302C">
      <w:pPr>
        <w:spacing w:after="0" w:line="480" w:lineRule="auto"/>
        <w:ind w:firstLine="720"/>
        <w:jc w:val="both"/>
        <w:rPr>
          <w:rFonts w:ascii="Times New Roman" w:hAnsi="Times New Roman" w:cs="Times New Roman"/>
          <w:sz w:val="24"/>
          <w:szCs w:val="24"/>
        </w:rPr>
      </w:pPr>
    </w:p>
    <w:p w:rsidR="004C6EF6" w:rsidRDefault="004C6EF6" w:rsidP="0013302C">
      <w:pPr>
        <w:spacing w:after="0" w:line="480" w:lineRule="auto"/>
        <w:ind w:firstLine="720"/>
        <w:jc w:val="both"/>
        <w:rPr>
          <w:rFonts w:ascii="Times New Roman" w:hAnsi="Times New Roman" w:cs="Times New Roman"/>
          <w:sz w:val="24"/>
          <w:szCs w:val="24"/>
        </w:rPr>
      </w:pPr>
    </w:p>
    <w:p w:rsidR="004C6EF6" w:rsidRDefault="004C6EF6" w:rsidP="0013302C">
      <w:pPr>
        <w:spacing w:after="0" w:line="480" w:lineRule="auto"/>
        <w:ind w:firstLine="720"/>
        <w:jc w:val="both"/>
        <w:rPr>
          <w:rFonts w:ascii="Times New Roman" w:hAnsi="Times New Roman" w:cs="Times New Roman"/>
          <w:sz w:val="24"/>
          <w:szCs w:val="24"/>
        </w:rPr>
      </w:pPr>
    </w:p>
    <w:p w:rsidR="004C6EF6" w:rsidRDefault="004C6EF6" w:rsidP="0013302C">
      <w:pPr>
        <w:spacing w:after="0" w:line="480" w:lineRule="auto"/>
        <w:ind w:firstLine="720"/>
        <w:jc w:val="both"/>
        <w:rPr>
          <w:rFonts w:ascii="Times New Roman" w:hAnsi="Times New Roman" w:cs="Times New Roman"/>
          <w:sz w:val="24"/>
          <w:szCs w:val="24"/>
        </w:rPr>
      </w:pPr>
    </w:p>
    <w:p w:rsidR="004C6EF6" w:rsidRDefault="004C6EF6" w:rsidP="0013302C">
      <w:pPr>
        <w:spacing w:after="0" w:line="480" w:lineRule="auto"/>
        <w:ind w:firstLine="720"/>
        <w:jc w:val="both"/>
        <w:rPr>
          <w:rFonts w:ascii="Times New Roman" w:hAnsi="Times New Roman" w:cs="Times New Roman"/>
          <w:sz w:val="24"/>
          <w:szCs w:val="24"/>
        </w:rPr>
      </w:pPr>
    </w:p>
    <w:p w:rsidR="004C6EF6" w:rsidRDefault="004C6EF6" w:rsidP="0013302C">
      <w:pPr>
        <w:spacing w:after="0" w:line="480" w:lineRule="auto"/>
        <w:ind w:firstLine="720"/>
        <w:jc w:val="both"/>
        <w:rPr>
          <w:rFonts w:ascii="Times New Roman" w:hAnsi="Times New Roman" w:cs="Times New Roman"/>
          <w:sz w:val="24"/>
          <w:szCs w:val="24"/>
        </w:rPr>
      </w:pPr>
    </w:p>
    <w:tbl>
      <w:tblPr>
        <w:tblW w:w="5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4174DA" w:rsidRPr="002E439F" w:rsidTr="00942137">
        <w:trPr>
          <w:cantSplit/>
          <w:jc w:val="center"/>
        </w:trPr>
        <w:tc>
          <w:tcPr>
            <w:tcW w:w="5336" w:type="dxa"/>
            <w:gridSpan w:val="3"/>
            <w:tcBorders>
              <w:top w:val="nil"/>
              <w:left w:val="nil"/>
              <w:bottom w:val="nil"/>
              <w:right w:val="nil"/>
            </w:tcBorders>
            <w:shd w:val="clear" w:color="auto" w:fill="FFFFFF"/>
            <w:vAlign w:val="center"/>
          </w:tcPr>
          <w:p w:rsidR="004174DA" w:rsidRDefault="004174DA" w:rsidP="000F622F">
            <w:pPr>
              <w:autoSpaceDE w:val="0"/>
              <w:autoSpaceDN w:val="0"/>
              <w:adjustRightInd w:val="0"/>
              <w:spacing w:after="0" w:line="320" w:lineRule="atLeast"/>
              <w:ind w:right="60"/>
              <w:jc w:val="center"/>
              <w:rPr>
                <w:rFonts w:ascii="Arial" w:hAnsi="Arial" w:cs="Arial"/>
                <w:b/>
                <w:bCs/>
                <w:color w:val="010205"/>
              </w:rPr>
            </w:pPr>
            <w:r>
              <w:rPr>
                <w:rFonts w:ascii="Arial" w:hAnsi="Arial" w:cs="Arial"/>
                <w:b/>
                <w:bCs/>
                <w:color w:val="010205"/>
              </w:rPr>
              <w:lastRenderedPageBreak/>
              <w:t>Tabel 4.4</w:t>
            </w:r>
          </w:p>
          <w:p w:rsidR="004174DA" w:rsidRDefault="004174DA" w:rsidP="000F622F">
            <w:pPr>
              <w:autoSpaceDE w:val="0"/>
              <w:autoSpaceDN w:val="0"/>
              <w:adjustRightInd w:val="0"/>
              <w:spacing w:after="0" w:line="320" w:lineRule="atLeast"/>
              <w:ind w:right="60"/>
              <w:jc w:val="center"/>
              <w:rPr>
                <w:rFonts w:ascii="Arial" w:hAnsi="Arial" w:cs="Arial"/>
                <w:b/>
                <w:bCs/>
                <w:color w:val="010205"/>
              </w:rPr>
            </w:pPr>
            <w:r>
              <w:rPr>
                <w:rFonts w:ascii="Arial" w:hAnsi="Arial" w:cs="Arial"/>
                <w:b/>
                <w:bCs/>
                <w:color w:val="010205"/>
              </w:rPr>
              <w:t xml:space="preserve">Hasil Uji </w:t>
            </w:r>
            <w:r w:rsidRPr="00535805">
              <w:rPr>
                <w:rFonts w:ascii="Arial" w:hAnsi="Arial" w:cs="Arial"/>
                <w:b/>
                <w:bCs/>
                <w:i/>
                <w:color w:val="010205"/>
              </w:rPr>
              <w:t>Kolmorogov-Smirnov</w:t>
            </w:r>
          </w:p>
          <w:p w:rsidR="004174DA" w:rsidRPr="002E439F" w:rsidRDefault="004174DA" w:rsidP="000F622F">
            <w:pPr>
              <w:autoSpaceDE w:val="0"/>
              <w:autoSpaceDN w:val="0"/>
              <w:adjustRightInd w:val="0"/>
              <w:spacing w:after="0" w:line="320" w:lineRule="atLeast"/>
              <w:ind w:right="60"/>
              <w:jc w:val="center"/>
              <w:rPr>
                <w:rFonts w:ascii="Arial" w:hAnsi="Arial" w:cs="Arial"/>
                <w:color w:val="010205"/>
              </w:rPr>
            </w:pPr>
            <w:r w:rsidRPr="002E439F">
              <w:rPr>
                <w:rFonts w:ascii="Arial" w:hAnsi="Arial" w:cs="Arial"/>
                <w:b/>
                <w:bCs/>
                <w:color w:val="010205"/>
              </w:rPr>
              <w:t>One-Sample Kolmogorov-Smirnov Test</w:t>
            </w:r>
          </w:p>
        </w:tc>
      </w:tr>
      <w:tr w:rsidR="004174DA" w:rsidRPr="002E439F" w:rsidTr="00942137">
        <w:trPr>
          <w:cantSplit/>
          <w:jc w:val="center"/>
        </w:trPr>
        <w:tc>
          <w:tcPr>
            <w:tcW w:w="3868" w:type="dxa"/>
            <w:gridSpan w:val="2"/>
            <w:tcBorders>
              <w:top w:val="nil"/>
              <w:left w:val="nil"/>
              <w:bottom w:val="single" w:sz="8" w:space="0" w:color="152935"/>
              <w:right w:val="nil"/>
            </w:tcBorders>
            <w:shd w:val="clear" w:color="auto" w:fill="FFFFFF"/>
            <w:vAlign w:val="bottom"/>
          </w:tcPr>
          <w:p w:rsidR="004174DA" w:rsidRPr="002E439F" w:rsidRDefault="004174DA" w:rsidP="000F622F">
            <w:pPr>
              <w:autoSpaceDE w:val="0"/>
              <w:autoSpaceDN w:val="0"/>
              <w:adjustRightInd w:val="0"/>
              <w:spacing w:after="0" w:line="240" w:lineRule="auto"/>
              <w:jc w:val="center"/>
              <w:rPr>
                <w:rFonts w:ascii="Times New Roman" w:hAnsi="Times New Roman" w:cs="Times New Roman"/>
                <w:sz w:val="24"/>
                <w:szCs w:val="24"/>
              </w:rPr>
            </w:pPr>
          </w:p>
        </w:tc>
        <w:tc>
          <w:tcPr>
            <w:tcW w:w="1468" w:type="dxa"/>
            <w:tcBorders>
              <w:top w:val="nil"/>
              <w:left w:val="nil"/>
              <w:bottom w:val="single" w:sz="8" w:space="0" w:color="152935"/>
              <w:right w:val="nil"/>
            </w:tcBorders>
            <w:shd w:val="clear" w:color="auto" w:fill="FFFFFF"/>
            <w:vAlign w:val="bottom"/>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Unstandardized Residual</w:t>
            </w:r>
          </w:p>
        </w:tc>
      </w:tr>
      <w:tr w:rsidR="004174DA" w:rsidRPr="002E439F" w:rsidTr="00942137">
        <w:trPr>
          <w:cantSplit/>
          <w:jc w:val="center"/>
        </w:trPr>
        <w:tc>
          <w:tcPr>
            <w:tcW w:w="3868" w:type="dxa"/>
            <w:gridSpan w:val="2"/>
            <w:tcBorders>
              <w:top w:val="single" w:sz="8" w:space="0" w:color="152935"/>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N</w:t>
            </w:r>
          </w:p>
        </w:tc>
        <w:tc>
          <w:tcPr>
            <w:tcW w:w="1468" w:type="dxa"/>
            <w:tcBorders>
              <w:top w:val="single" w:sz="8" w:space="0" w:color="152935"/>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6</w:t>
            </w:r>
          </w:p>
        </w:tc>
      </w:tr>
      <w:tr w:rsidR="004174DA" w:rsidRPr="002E439F" w:rsidTr="00942137">
        <w:trPr>
          <w:cantSplit/>
          <w:jc w:val="center"/>
        </w:trPr>
        <w:tc>
          <w:tcPr>
            <w:tcW w:w="2431" w:type="dxa"/>
            <w:vMerge w:val="restart"/>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Normal Parameters</w:t>
            </w:r>
            <w:r w:rsidRPr="002E439F">
              <w:rPr>
                <w:rFonts w:ascii="Arial" w:hAnsi="Arial" w:cs="Arial"/>
                <w:color w:val="264A60"/>
                <w:sz w:val="18"/>
                <w:szCs w:val="18"/>
                <w:vertAlign w:val="superscript"/>
              </w:rPr>
              <w:t>a,b</w:t>
            </w:r>
          </w:p>
        </w:tc>
        <w:tc>
          <w:tcPr>
            <w:tcW w:w="1437"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Mean</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.0000000</w:t>
            </w:r>
          </w:p>
        </w:tc>
      </w:tr>
      <w:tr w:rsidR="004174DA" w:rsidRPr="002E439F" w:rsidTr="00942137">
        <w:trPr>
          <w:cantSplit/>
          <w:jc w:val="center"/>
        </w:trPr>
        <w:tc>
          <w:tcPr>
            <w:tcW w:w="2431" w:type="dxa"/>
            <w:vMerge/>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240" w:lineRule="auto"/>
              <w:jc w:val="center"/>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Std. Deviation</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.15660162</w:t>
            </w:r>
          </w:p>
        </w:tc>
      </w:tr>
      <w:tr w:rsidR="004174DA" w:rsidRPr="002E439F" w:rsidTr="00942137">
        <w:trPr>
          <w:cantSplit/>
          <w:jc w:val="center"/>
        </w:trPr>
        <w:tc>
          <w:tcPr>
            <w:tcW w:w="2431" w:type="dxa"/>
            <w:vMerge w:val="restart"/>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Most Extreme Differences</w:t>
            </w:r>
          </w:p>
        </w:tc>
        <w:tc>
          <w:tcPr>
            <w:tcW w:w="1437"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Absolute</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.218</w:t>
            </w:r>
          </w:p>
        </w:tc>
      </w:tr>
      <w:tr w:rsidR="004174DA" w:rsidRPr="002E439F" w:rsidTr="00942137">
        <w:trPr>
          <w:cantSplit/>
          <w:jc w:val="center"/>
        </w:trPr>
        <w:tc>
          <w:tcPr>
            <w:tcW w:w="2431" w:type="dxa"/>
            <w:vMerge/>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240" w:lineRule="auto"/>
              <w:jc w:val="center"/>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Positive</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.218</w:t>
            </w:r>
          </w:p>
        </w:tc>
      </w:tr>
      <w:tr w:rsidR="004174DA" w:rsidRPr="002E439F" w:rsidTr="00942137">
        <w:trPr>
          <w:cantSplit/>
          <w:jc w:val="center"/>
        </w:trPr>
        <w:tc>
          <w:tcPr>
            <w:tcW w:w="2431" w:type="dxa"/>
            <w:vMerge/>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240" w:lineRule="auto"/>
              <w:jc w:val="center"/>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Negative</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-.200</w:t>
            </w:r>
          </w:p>
        </w:tc>
      </w:tr>
      <w:tr w:rsidR="004174DA" w:rsidRPr="002E439F" w:rsidTr="00942137">
        <w:trPr>
          <w:cantSplit/>
          <w:jc w:val="center"/>
        </w:trPr>
        <w:tc>
          <w:tcPr>
            <w:tcW w:w="3868" w:type="dxa"/>
            <w:gridSpan w:val="2"/>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Test Statistic</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.218</w:t>
            </w:r>
          </w:p>
        </w:tc>
      </w:tr>
      <w:tr w:rsidR="004174DA" w:rsidRPr="002E439F" w:rsidTr="00942137">
        <w:trPr>
          <w:cantSplit/>
          <w:jc w:val="center"/>
        </w:trPr>
        <w:tc>
          <w:tcPr>
            <w:tcW w:w="3868" w:type="dxa"/>
            <w:gridSpan w:val="2"/>
            <w:tcBorders>
              <w:top w:val="single" w:sz="8" w:space="0" w:color="AEAEAE"/>
              <w:left w:val="nil"/>
              <w:bottom w:val="single" w:sz="8" w:space="0" w:color="152935"/>
              <w:right w:val="nil"/>
            </w:tcBorders>
            <w:shd w:val="clear" w:color="auto" w:fill="E0E0E0"/>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Asymp. Sig. (2-tailed)</w:t>
            </w:r>
          </w:p>
        </w:tc>
        <w:tc>
          <w:tcPr>
            <w:tcW w:w="1468" w:type="dxa"/>
            <w:tcBorders>
              <w:top w:val="single" w:sz="8" w:space="0" w:color="AEAEAE"/>
              <w:left w:val="nil"/>
              <w:bottom w:val="single" w:sz="8" w:space="0" w:color="152935"/>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.200</w:t>
            </w:r>
            <w:r w:rsidRPr="002E439F">
              <w:rPr>
                <w:rFonts w:ascii="Arial" w:hAnsi="Arial" w:cs="Arial"/>
                <w:color w:val="010205"/>
                <w:sz w:val="18"/>
                <w:szCs w:val="18"/>
                <w:vertAlign w:val="superscript"/>
              </w:rPr>
              <w:t>c,d</w:t>
            </w:r>
          </w:p>
        </w:tc>
      </w:tr>
      <w:tr w:rsidR="004174DA" w:rsidRPr="002E439F" w:rsidTr="00942137">
        <w:trPr>
          <w:cantSplit/>
          <w:jc w:val="center"/>
        </w:trPr>
        <w:tc>
          <w:tcPr>
            <w:tcW w:w="5336" w:type="dxa"/>
            <w:gridSpan w:val="3"/>
            <w:tcBorders>
              <w:top w:val="nil"/>
              <w:left w:val="nil"/>
              <w:bottom w:val="nil"/>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a. Test distribution is Normal.</w:t>
            </w:r>
          </w:p>
        </w:tc>
      </w:tr>
      <w:tr w:rsidR="004174DA" w:rsidRPr="002E439F" w:rsidTr="00942137">
        <w:trPr>
          <w:cantSplit/>
          <w:jc w:val="center"/>
        </w:trPr>
        <w:tc>
          <w:tcPr>
            <w:tcW w:w="5336" w:type="dxa"/>
            <w:gridSpan w:val="3"/>
            <w:tcBorders>
              <w:top w:val="nil"/>
              <w:left w:val="nil"/>
              <w:bottom w:val="nil"/>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b. Calculated from data.</w:t>
            </w:r>
          </w:p>
        </w:tc>
      </w:tr>
      <w:tr w:rsidR="004174DA" w:rsidRPr="002E439F" w:rsidTr="00942137">
        <w:trPr>
          <w:cantSplit/>
          <w:jc w:val="center"/>
        </w:trPr>
        <w:tc>
          <w:tcPr>
            <w:tcW w:w="5336" w:type="dxa"/>
            <w:gridSpan w:val="3"/>
            <w:tcBorders>
              <w:top w:val="nil"/>
              <w:left w:val="nil"/>
              <w:bottom w:val="nil"/>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c. Lilliefors Significance Correction.</w:t>
            </w:r>
          </w:p>
        </w:tc>
      </w:tr>
      <w:tr w:rsidR="004174DA" w:rsidRPr="002E439F" w:rsidTr="00942137">
        <w:trPr>
          <w:cantSplit/>
          <w:jc w:val="center"/>
        </w:trPr>
        <w:tc>
          <w:tcPr>
            <w:tcW w:w="5336" w:type="dxa"/>
            <w:gridSpan w:val="3"/>
            <w:tcBorders>
              <w:top w:val="nil"/>
              <w:left w:val="nil"/>
              <w:bottom w:val="nil"/>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sz w:val="18"/>
                <w:szCs w:val="18"/>
              </w:rPr>
            </w:pPr>
            <w:r w:rsidRPr="002E439F">
              <w:rPr>
                <w:rFonts w:ascii="Arial" w:hAnsi="Arial" w:cs="Arial"/>
                <w:color w:val="010205"/>
                <w:sz w:val="18"/>
                <w:szCs w:val="18"/>
              </w:rPr>
              <w:t>d. This is a lower bound of the true significance.</w:t>
            </w:r>
          </w:p>
        </w:tc>
      </w:tr>
    </w:tbl>
    <w:p w:rsidR="00F31147" w:rsidRDefault="00535805" w:rsidP="00942137">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Sumber: Data diolah menggunakan SPSS 25,2018</w:t>
      </w:r>
    </w:p>
    <w:p w:rsidR="00535805" w:rsidRDefault="00535805" w:rsidP="0053580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perhitungan diatas, dengan menggunakan </w:t>
      </w:r>
      <w:r w:rsidRPr="00311B4F">
        <w:rPr>
          <w:rFonts w:ascii="Times New Roman" w:hAnsi="Times New Roman" w:cs="Times New Roman"/>
          <w:i/>
          <w:sz w:val="24"/>
          <w:szCs w:val="24"/>
        </w:rPr>
        <w:t xml:space="preserve">one sample </w:t>
      </w:r>
      <w:r w:rsidRPr="00535805">
        <w:rPr>
          <w:rFonts w:ascii="Times New Roman" w:hAnsi="Times New Roman" w:cs="Times New Roman"/>
          <w:i/>
          <w:sz w:val="24"/>
          <w:szCs w:val="24"/>
        </w:rPr>
        <w:t>Kolmogorov-Smirnov</w:t>
      </w:r>
      <w:r>
        <w:rPr>
          <w:rFonts w:ascii="Times New Roman" w:hAnsi="Times New Roman" w:cs="Times New Roman"/>
          <w:i/>
          <w:sz w:val="24"/>
          <w:szCs w:val="24"/>
        </w:rPr>
        <w:t xml:space="preserve"> </w:t>
      </w:r>
      <w:r>
        <w:rPr>
          <w:rFonts w:ascii="Times New Roman" w:hAnsi="Times New Roman" w:cs="Times New Roman"/>
          <w:sz w:val="24"/>
          <w:szCs w:val="24"/>
        </w:rPr>
        <w:t>diperoleh dengan nilai signifikan = 0.200 (Sig &gt; 0,05), maka dapat disimpulkan bahwa</w:t>
      </w:r>
      <w:r w:rsidRPr="00535805">
        <w:rPr>
          <w:rFonts w:ascii="Times New Roman" w:hAnsi="Times New Roman" w:cs="Times New Roman"/>
          <w:i/>
          <w:sz w:val="24"/>
          <w:szCs w:val="24"/>
        </w:rPr>
        <w:t xml:space="preserve"> </w:t>
      </w:r>
      <w:r>
        <w:rPr>
          <w:rFonts w:ascii="Times New Roman" w:hAnsi="Times New Roman" w:cs="Times New Roman"/>
          <w:sz w:val="24"/>
          <w:szCs w:val="24"/>
        </w:rPr>
        <w:t>data berdistribusi normal dan mem</w:t>
      </w:r>
      <w:r w:rsidR="00311B4F">
        <w:rPr>
          <w:rFonts w:ascii="Times New Roman" w:hAnsi="Times New Roman" w:cs="Times New Roman"/>
          <w:sz w:val="24"/>
          <w:szCs w:val="24"/>
          <w:lang w:val="en-US"/>
        </w:rPr>
        <w:t>e</w:t>
      </w:r>
      <w:r>
        <w:rPr>
          <w:rFonts w:ascii="Times New Roman" w:hAnsi="Times New Roman" w:cs="Times New Roman"/>
          <w:sz w:val="24"/>
          <w:szCs w:val="24"/>
        </w:rPr>
        <w:t xml:space="preserve">nuhi asumsi normalitas. Kesimpulan dari kedua uji normalitas tersebut baik menggunakan uji normal P-Plot dan </w:t>
      </w:r>
      <w:r w:rsidRPr="00535805">
        <w:rPr>
          <w:rFonts w:ascii="Times New Roman" w:hAnsi="Times New Roman" w:cs="Times New Roman"/>
          <w:i/>
          <w:sz w:val="24"/>
          <w:szCs w:val="24"/>
        </w:rPr>
        <w:t>uji Kolmogorov-Smirnov</w:t>
      </w:r>
      <w:r>
        <w:rPr>
          <w:rFonts w:ascii="Times New Roman" w:hAnsi="Times New Roman" w:cs="Times New Roman"/>
          <w:i/>
          <w:sz w:val="24"/>
          <w:szCs w:val="24"/>
        </w:rPr>
        <w:t xml:space="preserve"> </w:t>
      </w:r>
      <w:r>
        <w:rPr>
          <w:rFonts w:ascii="Times New Roman" w:hAnsi="Times New Roman" w:cs="Times New Roman"/>
          <w:sz w:val="24"/>
          <w:szCs w:val="24"/>
        </w:rPr>
        <w:t>(K-S) menunjukan bahwa data-data tersebut berdistribusi normal.</w:t>
      </w:r>
    </w:p>
    <w:p w:rsidR="008050A0" w:rsidRDefault="008050A0" w:rsidP="008050A0">
      <w:pPr>
        <w:spacing w:after="0" w:line="480" w:lineRule="auto"/>
        <w:jc w:val="both"/>
        <w:rPr>
          <w:rFonts w:ascii="Times New Roman" w:hAnsi="Times New Roman" w:cs="Times New Roman"/>
          <w:sz w:val="24"/>
          <w:szCs w:val="24"/>
        </w:rPr>
      </w:pPr>
    </w:p>
    <w:p w:rsidR="008050A0" w:rsidRPr="008050A0" w:rsidRDefault="008050A0" w:rsidP="008050A0">
      <w:pPr>
        <w:tabs>
          <w:tab w:val="left" w:pos="3260"/>
        </w:tabs>
        <w:spacing w:after="0" w:line="480" w:lineRule="auto"/>
        <w:jc w:val="both"/>
        <w:rPr>
          <w:rFonts w:ascii="Times New Roman" w:hAnsi="Times New Roman" w:cs="Times New Roman"/>
          <w:b/>
          <w:sz w:val="24"/>
          <w:szCs w:val="24"/>
        </w:rPr>
      </w:pPr>
      <w:r w:rsidRPr="008050A0">
        <w:rPr>
          <w:rFonts w:ascii="Times New Roman" w:hAnsi="Times New Roman" w:cs="Times New Roman"/>
          <w:b/>
          <w:sz w:val="24"/>
          <w:szCs w:val="24"/>
        </w:rPr>
        <w:t>4.2.1.2 Uji Multikorelasi</w:t>
      </w:r>
      <w:r>
        <w:rPr>
          <w:rFonts w:ascii="Times New Roman" w:hAnsi="Times New Roman" w:cs="Times New Roman"/>
          <w:b/>
          <w:sz w:val="24"/>
          <w:szCs w:val="24"/>
        </w:rPr>
        <w:tab/>
      </w:r>
    </w:p>
    <w:p w:rsidR="0013302C" w:rsidRDefault="008050A0" w:rsidP="0013302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Bertujuan </w:t>
      </w:r>
      <w:r w:rsidR="00124BE0">
        <w:rPr>
          <w:rFonts w:ascii="Times New Roman" w:hAnsi="Times New Roman" w:cs="Times New Roman"/>
          <w:sz w:val="24"/>
          <w:szCs w:val="24"/>
        </w:rPr>
        <w:t xml:space="preserve">untuk menguji apakah pada model regresi ditemukan adanya korelasi antar variabel independen. Pada model regresi yang baik seharusnya antar variabel independen tidak terjadi korelasi. Jika variabel-variabel saling berkolerasi, maka variabel variabel ini tidak orthogonal. Variabel orthogonal adalah variabel bebas yang nilai korelasi antara sesama variabel bebas adalah nol. Pada penelitian ini digunakan nilai </w:t>
      </w:r>
      <w:r w:rsidR="00124BE0" w:rsidRPr="00124BE0">
        <w:rPr>
          <w:rFonts w:ascii="Times New Roman" w:hAnsi="Times New Roman" w:cs="Times New Roman"/>
          <w:i/>
          <w:sz w:val="24"/>
          <w:szCs w:val="24"/>
        </w:rPr>
        <w:t>variance inflation factors</w:t>
      </w:r>
      <w:r w:rsidR="00124BE0">
        <w:rPr>
          <w:rFonts w:ascii="Times New Roman" w:hAnsi="Times New Roman" w:cs="Times New Roman"/>
          <w:sz w:val="24"/>
          <w:szCs w:val="24"/>
        </w:rPr>
        <w:t xml:space="preserve"> (VIF) sebagai indikator ada tidaknya multikolonieritas diantara variabael bebas. </w:t>
      </w:r>
    </w:p>
    <w:p w:rsidR="00124BE0" w:rsidRPr="00124BE0" w:rsidRDefault="00124BE0" w:rsidP="00124BE0">
      <w:pPr>
        <w:spacing w:after="0" w:line="480" w:lineRule="auto"/>
        <w:ind w:firstLine="720"/>
        <w:jc w:val="center"/>
        <w:rPr>
          <w:rFonts w:ascii="Times New Roman" w:hAnsi="Times New Roman" w:cs="Times New Roman"/>
          <w:b/>
          <w:sz w:val="24"/>
          <w:szCs w:val="24"/>
        </w:rPr>
      </w:pPr>
      <w:r w:rsidRPr="00124BE0">
        <w:rPr>
          <w:rFonts w:ascii="Times New Roman" w:hAnsi="Times New Roman" w:cs="Times New Roman"/>
          <w:b/>
          <w:sz w:val="24"/>
          <w:szCs w:val="24"/>
        </w:rPr>
        <w:lastRenderedPageBreak/>
        <w:t>Tabel 4.5</w:t>
      </w:r>
    </w:p>
    <w:p w:rsidR="00124BE0" w:rsidRDefault="00124BE0" w:rsidP="00124BE0">
      <w:pPr>
        <w:spacing w:after="0" w:line="480" w:lineRule="auto"/>
        <w:ind w:firstLine="720"/>
        <w:jc w:val="center"/>
        <w:rPr>
          <w:rFonts w:ascii="Times New Roman" w:hAnsi="Times New Roman" w:cs="Times New Roman"/>
          <w:b/>
          <w:sz w:val="24"/>
          <w:szCs w:val="24"/>
        </w:rPr>
      </w:pPr>
      <w:r w:rsidRPr="00124BE0">
        <w:rPr>
          <w:rFonts w:ascii="Times New Roman" w:hAnsi="Times New Roman" w:cs="Times New Roman"/>
          <w:b/>
          <w:sz w:val="24"/>
          <w:szCs w:val="24"/>
        </w:rPr>
        <w:t>Hasil Uji Multikolorasi</w:t>
      </w:r>
    </w:p>
    <w:tbl>
      <w:tblPr>
        <w:tblW w:w="9584" w:type="dxa"/>
        <w:tblInd w:w="-5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7"/>
        <w:gridCol w:w="1102"/>
        <w:gridCol w:w="1245"/>
        <w:gridCol w:w="1245"/>
        <w:gridCol w:w="1373"/>
        <w:gridCol w:w="958"/>
        <w:gridCol w:w="937"/>
        <w:gridCol w:w="1079"/>
        <w:gridCol w:w="958"/>
      </w:tblGrid>
      <w:tr w:rsidR="00124BE0" w:rsidRPr="002E439F" w:rsidTr="00124BE0">
        <w:trPr>
          <w:cantSplit/>
          <w:trHeight w:val="312"/>
        </w:trPr>
        <w:tc>
          <w:tcPr>
            <w:tcW w:w="9584" w:type="dxa"/>
            <w:gridSpan w:val="9"/>
            <w:tcBorders>
              <w:top w:val="nil"/>
              <w:left w:val="nil"/>
              <w:bottom w:val="nil"/>
              <w:right w:val="nil"/>
            </w:tcBorders>
            <w:shd w:val="clear" w:color="auto" w:fill="FFFFFF"/>
            <w:vAlign w:val="center"/>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Coefficients</w:t>
            </w:r>
            <w:r w:rsidRPr="002E439F">
              <w:rPr>
                <w:rFonts w:ascii="Arial" w:hAnsi="Arial" w:cs="Arial"/>
                <w:b/>
                <w:bCs/>
                <w:color w:val="010205"/>
                <w:vertAlign w:val="superscript"/>
              </w:rPr>
              <w:t>a</w:t>
            </w:r>
          </w:p>
        </w:tc>
      </w:tr>
      <w:tr w:rsidR="00124BE0" w:rsidRPr="002E439F" w:rsidTr="007C1316">
        <w:trPr>
          <w:cantSplit/>
          <w:trHeight w:val="595"/>
        </w:trPr>
        <w:tc>
          <w:tcPr>
            <w:tcW w:w="1789" w:type="dxa"/>
            <w:gridSpan w:val="2"/>
            <w:vMerge w:val="restart"/>
            <w:tcBorders>
              <w:top w:val="nil"/>
              <w:left w:val="nil"/>
              <w:bottom w:val="nil"/>
              <w:right w:val="nil"/>
            </w:tcBorders>
            <w:shd w:val="clear" w:color="auto" w:fill="FFFFFF"/>
            <w:vAlign w:val="bottom"/>
          </w:tcPr>
          <w:p w:rsidR="00124BE0" w:rsidRPr="002E439F" w:rsidRDefault="00124BE0" w:rsidP="00124BE0">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Model</w:t>
            </w:r>
          </w:p>
        </w:tc>
        <w:tc>
          <w:tcPr>
            <w:tcW w:w="2490" w:type="dxa"/>
            <w:gridSpan w:val="2"/>
            <w:tcBorders>
              <w:top w:val="nil"/>
              <w:left w:val="nil"/>
              <w:bottom w:val="nil"/>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Unstandardized Coefficients</w:t>
            </w:r>
          </w:p>
        </w:tc>
        <w:tc>
          <w:tcPr>
            <w:tcW w:w="1373" w:type="dxa"/>
            <w:tcBorders>
              <w:top w:val="nil"/>
              <w:left w:val="single" w:sz="8" w:space="0" w:color="E0E0E0"/>
              <w:bottom w:val="nil"/>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Standardized Coefficients</w:t>
            </w:r>
          </w:p>
        </w:tc>
        <w:tc>
          <w:tcPr>
            <w:tcW w:w="958" w:type="dxa"/>
            <w:vMerge w:val="restart"/>
            <w:tcBorders>
              <w:top w:val="nil"/>
              <w:left w:val="single" w:sz="8" w:space="0" w:color="E0E0E0"/>
              <w:bottom w:val="nil"/>
              <w:right w:val="single" w:sz="8" w:space="0" w:color="E0E0E0"/>
            </w:tcBorders>
            <w:shd w:val="clear" w:color="auto" w:fill="FFFFFF"/>
            <w:vAlign w:val="bottom"/>
          </w:tcPr>
          <w:p w:rsidR="00124BE0" w:rsidRPr="002E439F" w:rsidRDefault="00460F7C"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w:t>
            </w:r>
          </w:p>
        </w:tc>
        <w:tc>
          <w:tcPr>
            <w:tcW w:w="937" w:type="dxa"/>
            <w:vMerge w:val="restart"/>
            <w:tcBorders>
              <w:top w:val="nil"/>
              <w:left w:val="single" w:sz="8" w:space="0" w:color="E0E0E0"/>
              <w:bottom w:val="nil"/>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Sig.</w:t>
            </w:r>
          </w:p>
        </w:tc>
        <w:tc>
          <w:tcPr>
            <w:tcW w:w="2037" w:type="dxa"/>
            <w:gridSpan w:val="2"/>
            <w:tcBorders>
              <w:top w:val="nil"/>
              <w:left w:val="single" w:sz="8" w:space="0" w:color="E0E0E0"/>
              <w:bottom w:val="nil"/>
              <w:right w:val="nil"/>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Collinearity Statistics</w:t>
            </w:r>
          </w:p>
        </w:tc>
      </w:tr>
      <w:tr w:rsidR="00124BE0" w:rsidRPr="002E439F" w:rsidTr="007C1316">
        <w:trPr>
          <w:cantSplit/>
          <w:trHeight w:val="135"/>
        </w:trPr>
        <w:tc>
          <w:tcPr>
            <w:tcW w:w="1789" w:type="dxa"/>
            <w:gridSpan w:val="2"/>
            <w:vMerge/>
            <w:tcBorders>
              <w:top w:val="nil"/>
              <w:left w:val="nil"/>
              <w:bottom w:val="nil"/>
              <w:right w:val="nil"/>
            </w:tcBorders>
            <w:shd w:val="clear" w:color="auto" w:fill="FFFFFF"/>
            <w:vAlign w:val="bottom"/>
          </w:tcPr>
          <w:p w:rsidR="00124BE0" w:rsidRPr="002E439F" w:rsidRDefault="00124BE0" w:rsidP="00124BE0">
            <w:pPr>
              <w:autoSpaceDE w:val="0"/>
              <w:autoSpaceDN w:val="0"/>
              <w:adjustRightInd w:val="0"/>
              <w:spacing w:after="0" w:line="240" w:lineRule="auto"/>
              <w:rPr>
                <w:rFonts w:ascii="Arial" w:hAnsi="Arial" w:cs="Arial"/>
                <w:color w:val="264A60"/>
                <w:sz w:val="18"/>
                <w:szCs w:val="18"/>
              </w:rPr>
            </w:pPr>
          </w:p>
        </w:tc>
        <w:tc>
          <w:tcPr>
            <w:tcW w:w="1245" w:type="dxa"/>
            <w:tcBorders>
              <w:top w:val="nil"/>
              <w:left w:val="nil"/>
              <w:bottom w:val="single" w:sz="8" w:space="0" w:color="152935"/>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w:t>
            </w:r>
          </w:p>
        </w:tc>
        <w:tc>
          <w:tcPr>
            <w:tcW w:w="1245" w:type="dxa"/>
            <w:tcBorders>
              <w:top w:val="nil"/>
              <w:left w:val="single" w:sz="8" w:space="0" w:color="E0E0E0"/>
              <w:bottom w:val="single" w:sz="8" w:space="0" w:color="152935"/>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Std. Error</w:t>
            </w:r>
          </w:p>
        </w:tc>
        <w:tc>
          <w:tcPr>
            <w:tcW w:w="1373" w:type="dxa"/>
            <w:tcBorders>
              <w:top w:val="nil"/>
              <w:left w:val="single" w:sz="8" w:space="0" w:color="E0E0E0"/>
              <w:bottom w:val="single" w:sz="8" w:space="0" w:color="152935"/>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Beta</w:t>
            </w:r>
          </w:p>
        </w:tc>
        <w:tc>
          <w:tcPr>
            <w:tcW w:w="958" w:type="dxa"/>
            <w:vMerge/>
            <w:tcBorders>
              <w:top w:val="nil"/>
              <w:left w:val="single" w:sz="8" w:space="0" w:color="E0E0E0"/>
              <w:bottom w:val="nil"/>
              <w:right w:val="single" w:sz="8" w:space="0" w:color="E0E0E0"/>
            </w:tcBorders>
            <w:shd w:val="clear" w:color="auto" w:fill="FFFFFF"/>
            <w:vAlign w:val="bottom"/>
          </w:tcPr>
          <w:p w:rsidR="00124BE0" w:rsidRPr="002E439F" w:rsidRDefault="00124BE0" w:rsidP="00124BE0">
            <w:pPr>
              <w:autoSpaceDE w:val="0"/>
              <w:autoSpaceDN w:val="0"/>
              <w:adjustRightInd w:val="0"/>
              <w:spacing w:after="0" w:line="240" w:lineRule="auto"/>
              <w:rPr>
                <w:rFonts w:ascii="Arial" w:hAnsi="Arial" w:cs="Arial"/>
                <w:color w:val="264A60"/>
                <w:sz w:val="18"/>
                <w:szCs w:val="18"/>
              </w:rPr>
            </w:pPr>
          </w:p>
        </w:tc>
        <w:tc>
          <w:tcPr>
            <w:tcW w:w="937" w:type="dxa"/>
            <w:vMerge/>
            <w:tcBorders>
              <w:top w:val="nil"/>
              <w:left w:val="single" w:sz="8" w:space="0" w:color="E0E0E0"/>
              <w:bottom w:val="nil"/>
              <w:right w:val="single" w:sz="8" w:space="0" w:color="E0E0E0"/>
            </w:tcBorders>
            <w:shd w:val="clear" w:color="auto" w:fill="FFFFFF"/>
            <w:vAlign w:val="bottom"/>
          </w:tcPr>
          <w:p w:rsidR="00124BE0" w:rsidRPr="002E439F" w:rsidRDefault="00124BE0" w:rsidP="00124BE0">
            <w:pPr>
              <w:autoSpaceDE w:val="0"/>
              <w:autoSpaceDN w:val="0"/>
              <w:adjustRightInd w:val="0"/>
              <w:spacing w:after="0" w:line="240" w:lineRule="auto"/>
              <w:rPr>
                <w:rFonts w:ascii="Arial" w:hAnsi="Arial" w:cs="Arial"/>
                <w:color w:val="264A60"/>
                <w:sz w:val="18"/>
                <w:szCs w:val="18"/>
              </w:rPr>
            </w:pPr>
          </w:p>
        </w:tc>
        <w:tc>
          <w:tcPr>
            <w:tcW w:w="1079" w:type="dxa"/>
            <w:tcBorders>
              <w:top w:val="nil"/>
              <w:left w:val="single" w:sz="8" w:space="0" w:color="E0E0E0"/>
              <w:bottom w:val="single" w:sz="8" w:space="0" w:color="152935"/>
              <w:right w:val="single" w:sz="8" w:space="0" w:color="E0E0E0"/>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Tolerance</w:t>
            </w:r>
          </w:p>
        </w:tc>
        <w:tc>
          <w:tcPr>
            <w:tcW w:w="958" w:type="dxa"/>
            <w:tcBorders>
              <w:top w:val="nil"/>
              <w:left w:val="single" w:sz="8" w:space="0" w:color="E0E0E0"/>
              <w:bottom w:val="single" w:sz="8" w:space="0" w:color="152935"/>
              <w:right w:val="nil"/>
            </w:tcBorders>
            <w:shd w:val="clear" w:color="auto" w:fill="FFFFFF"/>
            <w:vAlign w:val="bottom"/>
          </w:tcPr>
          <w:p w:rsidR="00124BE0" w:rsidRPr="002E439F" w:rsidRDefault="00124BE0" w:rsidP="00124BE0">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VIF</w:t>
            </w:r>
          </w:p>
        </w:tc>
      </w:tr>
      <w:tr w:rsidR="00124BE0" w:rsidRPr="002E439F" w:rsidTr="007C1316">
        <w:trPr>
          <w:cantSplit/>
          <w:trHeight w:val="312"/>
        </w:trPr>
        <w:tc>
          <w:tcPr>
            <w:tcW w:w="687" w:type="dxa"/>
            <w:vMerge w:val="restart"/>
            <w:tcBorders>
              <w:top w:val="single" w:sz="8" w:space="0" w:color="152935"/>
              <w:left w:val="nil"/>
              <w:bottom w:val="single" w:sz="8" w:space="0" w:color="152935"/>
              <w:right w:val="nil"/>
            </w:tcBorders>
            <w:shd w:val="clear" w:color="auto" w:fill="E0E0E0"/>
          </w:tcPr>
          <w:p w:rsidR="00124BE0" w:rsidRPr="002E439F" w:rsidRDefault="00124BE0" w:rsidP="00124BE0">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1</w:t>
            </w:r>
          </w:p>
        </w:tc>
        <w:tc>
          <w:tcPr>
            <w:tcW w:w="1102" w:type="dxa"/>
            <w:tcBorders>
              <w:top w:val="single" w:sz="8" w:space="0" w:color="152935"/>
              <w:left w:val="nil"/>
              <w:bottom w:val="single" w:sz="8" w:space="0" w:color="AEAEAE"/>
              <w:right w:val="nil"/>
            </w:tcBorders>
            <w:shd w:val="clear" w:color="auto" w:fill="E0E0E0"/>
          </w:tcPr>
          <w:p w:rsidR="00124BE0" w:rsidRPr="002E439F" w:rsidRDefault="00124BE0" w:rsidP="00124BE0">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(Constant)</w:t>
            </w:r>
          </w:p>
        </w:tc>
        <w:tc>
          <w:tcPr>
            <w:tcW w:w="1245" w:type="dxa"/>
            <w:tcBorders>
              <w:top w:val="single" w:sz="8" w:space="0" w:color="152935"/>
              <w:left w:val="nil"/>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1.006</w:t>
            </w:r>
          </w:p>
        </w:tc>
        <w:tc>
          <w:tcPr>
            <w:tcW w:w="1245" w:type="dxa"/>
            <w:tcBorders>
              <w:top w:val="single" w:sz="8" w:space="0" w:color="152935"/>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3.019</w:t>
            </w:r>
          </w:p>
        </w:tc>
        <w:tc>
          <w:tcPr>
            <w:tcW w:w="1373"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24BE0" w:rsidRPr="002E439F" w:rsidRDefault="00124BE0" w:rsidP="00124BE0">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8" w:space="0" w:color="152935"/>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.333</w:t>
            </w:r>
          </w:p>
        </w:tc>
        <w:tc>
          <w:tcPr>
            <w:tcW w:w="937" w:type="dxa"/>
            <w:tcBorders>
              <w:top w:val="single" w:sz="8" w:space="0" w:color="152935"/>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.761</w:t>
            </w:r>
          </w:p>
        </w:tc>
        <w:tc>
          <w:tcPr>
            <w:tcW w:w="107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124BE0" w:rsidRPr="002E439F" w:rsidRDefault="00124BE0" w:rsidP="00124BE0">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8" w:space="0" w:color="152935"/>
              <w:left w:val="single" w:sz="8" w:space="0" w:color="E0E0E0"/>
              <w:bottom w:val="single" w:sz="8" w:space="0" w:color="AEAEAE"/>
              <w:right w:val="nil"/>
            </w:tcBorders>
            <w:shd w:val="clear" w:color="auto" w:fill="FFFFFF"/>
            <w:vAlign w:val="center"/>
          </w:tcPr>
          <w:p w:rsidR="00124BE0" w:rsidRPr="002E439F" w:rsidRDefault="00124BE0" w:rsidP="00124BE0">
            <w:pPr>
              <w:autoSpaceDE w:val="0"/>
              <w:autoSpaceDN w:val="0"/>
              <w:adjustRightInd w:val="0"/>
              <w:spacing w:after="0" w:line="240" w:lineRule="auto"/>
              <w:rPr>
                <w:rFonts w:ascii="Times New Roman" w:hAnsi="Times New Roman" w:cs="Times New Roman"/>
                <w:sz w:val="24"/>
                <w:szCs w:val="24"/>
              </w:rPr>
            </w:pPr>
          </w:p>
        </w:tc>
      </w:tr>
      <w:tr w:rsidR="00124BE0" w:rsidRPr="002E439F" w:rsidTr="007C1316">
        <w:trPr>
          <w:cantSplit/>
          <w:trHeight w:val="135"/>
        </w:trPr>
        <w:tc>
          <w:tcPr>
            <w:tcW w:w="687" w:type="dxa"/>
            <w:vMerge/>
            <w:tcBorders>
              <w:top w:val="single" w:sz="8" w:space="0" w:color="152935"/>
              <w:left w:val="nil"/>
              <w:bottom w:val="single" w:sz="8" w:space="0" w:color="152935"/>
              <w:right w:val="nil"/>
            </w:tcBorders>
            <w:shd w:val="clear" w:color="auto" w:fill="E0E0E0"/>
          </w:tcPr>
          <w:p w:rsidR="00124BE0" w:rsidRPr="002E439F" w:rsidRDefault="00124BE0" w:rsidP="00124BE0">
            <w:pPr>
              <w:autoSpaceDE w:val="0"/>
              <w:autoSpaceDN w:val="0"/>
              <w:adjustRightInd w:val="0"/>
              <w:spacing w:after="0" w:line="240" w:lineRule="auto"/>
              <w:rPr>
                <w:rFonts w:ascii="Times New Roman" w:hAnsi="Times New Roman" w:cs="Times New Roman"/>
                <w:sz w:val="24"/>
                <w:szCs w:val="24"/>
              </w:rPr>
            </w:pPr>
          </w:p>
        </w:tc>
        <w:tc>
          <w:tcPr>
            <w:tcW w:w="1102" w:type="dxa"/>
            <w:tcBorders>
              <w:top w:val="single" w:sz="8" w:space="0" w:color="AEAEAE"/>
              <w:left w:val="nil"/>
              <w:bottom w:val="single" w:sz="8" w:space="0" w:color="AEAEAE"/>
              <w:right w:val="nil"/>
            </w:tcBorders>
            <w:shd w:val="clear" w:color="auto" w:fill="E0E0E0"/>
          </w:tcPr>
          <w:p w:rsidR="00124BE0" w:rsidRPr="002E439F" w:rsidRDefault="00124BE0" w:rsidP="00124BE0">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KPR</w:t>
            </w:r>
          </w:p>
        </w:tc>
        <w:tc>
          <w:tcPr>
            <w:tcW w:w="1245" w:type="dxa"/>
            <w:tcBorders>
              <w:top w:val="single" w:sz="8" w:space="0" w:color="AEAEAE"/>
              <w:left w:val="nil"/>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-.191</w:t>
            </w:r>
          </w:p>
        </w:tc>
        <w:tc>
          <w:tcPr>
            <w:tcW w:w="1245" w:type="dxa"/>
            <w:tcBorders>
              <w:top w:val="single" w:sz="8" w:space="0" w:color="AEAEAE"/>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.485</w:t>
            </w:r>
          </w:p>
        </w:tc>
        <w:tc>
          <w:tcPr>
            <w:tcW w:w="1373" w:type="dxa"/>
            <w:tcBorders>
              <w:top w:val="single" w:sz="8" w:space="0" w:color="AEAEAE"/>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-.236</w:t>
            </w:r>
          </w:p>
        </w:tc>
        <w:tc>
          <w:tcPr>
            <w:tcW w:w="958" w:type="dxa"/>
            <w:tcBorders>
              <w:top w:val="single" w:sz="8" w:space="0" w:color="AEAEAE"/>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-.394</w:t>
            </w:r>
          </w:p>
        </w:tc>
        <w:tc>
          <w:tcPr>
            <w:tcW w:w="937" w:type="dxa"/>
            <w:tcBorders>
              <w:top w:val="single" w:sz="8" w:space="0" w:color="AEAEAE"/>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.720</w:t>
            </w:r>
          </w:p>
        </w:tc>
        <w:tc>
          <w:tcPr>
            <w:tcW w:w="1079" w:type="dxa"/>
            <w:tcBorders>
              <w:top w:val="single" w:sz="8" w:space="0" w:color="AEAEAE"/>
              <w:left w:val="single" w:sz="8" w:space="0" w:color="E0E0E0"/>
              <w:bottom w:val="single" w:sz="8" w:space="0" w:color="AEAEAE"/>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.416</w:t>
            </w:r>
          </w:p>
        </w:tc>
        <w:tc>
          <w:tcPr>
            <w:tcW w:w="958" w:type="dxa"/>
            <w:tcBorders>
              <w:top w:val="single" w:sz="8" w:space="0" w:color="AEAEAE"/>
              <w:left w:val="single" w:sz="8" w:space="0" w:color="E0E0E0"/>
              <w:bottom w:val="single" w:sz="8" w:space="0" w:color="AEAEAE"/>
              <w:right w:val="nil"/>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2.401</w:t>
            </w:r>
          </w:p>
        </w:tc>
      </w:tr>
      <w:tr w:rsidR="00124BE0" w:rsidRPr="002E439F" w:rsidTr="007C1316">
        <w:trPr>
          <w:cantSplit/>
          <w:trHeight w:val="135"/>
        </w:trPr>
        <w:tc>
          <w:tcPr>
            <w:tcW w:w="687" w:type="dxa"/>
            <w:vMerge/>
            <w:tcBorders>
              <w:top w:val="single" w:sz="8" w:space="0" w:color="152935"/>
              <w:left w:val="nil"/>
              <w:bottom w:val="single" w:sz="8" w:space="0" w:color="152935"/>
              <w:right w:val="nil"/>
            </w:tcBorders>
            <w:shd w:val="clear" w:color="auto" w:fill="E0E0E0"/>
          </w:tcPr>
          <w:p w:rsidR="00124BE0" w:rsidRPr="002E439F" w:rsidRDefault="00124BE0" w:rsidP="00124BE0">
            <w:pPr>
              <w:autoSpaceDE w:val="0"/>
              <w:autoSpaceDN w:val="0"/>
              <w:adjustRightInd w:val="0"/>
              <w:spacing w:after="0" w:line="240" w:lineRule="auto"/>
              <w:rPr>
                <w:rFonts w:ascii="Arial" w:hAnsi="Arial" w:cs="Arial"/>
                <w:color w:val="010205"/>
                <w:sz w:val="18"/>
                <w:szCs w:val="18"/>
              </w:rPr>
            </w:pPr>
          </w:p>
        </w:tc>
        <w:tc>
          <w:tcPr>
            <w:tcW w:w="1102" w:type="dxa"/>
            <w:tcBorders>
              <w:top w:val="single" w:sz="8" w:space="0" w:color="AEAEAE"/>
              <w:left w:val="nil"/>
              <w:bottom w:val="single" w:sz="8" w:space="0" w:color="152935"/>
              <w:right w:val="nil"/>
            </w:tcBorders>
            <w:shd w:val="clear" w:color="auto" w:fill="E0E0E0"/>
          </w:tcPr>
          <w:p w:rsidR="00124BE0" w:rsidRPr="002E439F" w:rsidRDefault="00124BE0" w:rsidP="00124BE0">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NPF</w:t>
            </w:r>
          </w:p>
        </w:tc>
        <w:tc>
          <w:tcPr>
            <w:tcW w:w="1245" w:type="dxa"/>
            <w:tcBorders>
              <w:top w:val="single" w:sz="8" w:space="0" w:color="AEAEAE"/>
              <w:left w:val="nil"/>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-.174</w:t>
            </w:r>
          </w:p>
        </w:tc>
        <w:tc>
          <w:tcPr>
            <w:tcW w:w="1245" w:type="dxa"/>
            <w:tcBorders>
              <w:top w:val="single" w:sz="8" w:space="0" w:color="AEAEAE"/>
              <w:left w:val="single" w:sz="8" w:space="0" w:color="E0E0E0"/>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.190</w:t>
            </w:r>
          </w:p>
        </w:tc>
        <w:tc>
          <w:tcPr>
            <w:tcW w:w="1373" w:type="dxa"/>
            <w:tcBorders>
              <w:top w:val="single" w:sz="8" w:space="0" w:color="AEAEAE"/>
              <w:left w:val="single" w:sz="8" w:space="0" w:color="E0E0E0"/>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-.548</w:t>
            </w:r>
          </w:p>
        </w:tc>
        <w:tc>
          <w:tcPr>
            <w:tcW w:w="958" w:type="dxa"/>
            <w:tcBorders>
              <w:top w:val="single" w:sz="8" w:space="0" w:color="AEAEAE"/>
              <w:left w:val="single" w:sz="8" w:space="0" w:color="E0E0E0"/>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-.916</w:t>
            </w:r>
          </w:p>
        </w:tc>
        <w:tc>
          <w:tcPr>
            <w:tcW w:w="937" w:type="dxa"/>
            <w:tcBorders>
              <w:top w:val="single" w:sz="8" w:space="0" w:color="AEAEAE"/>
              <w:left w:val="single" w:sz="8" w:space="0" w:color="E0E0E0"/>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.427</w:t>
            </w:r>
          </w:p>
        </w:tc>
        <w:tc>
          <w:tcPr>
            <w:tcW w:w="1079" w:type="dxa"/>
            <w:tcBorders>
              <w:top w:val="single" w:sz="8" w:space="0" w:color="AEAEAE"/>
              <w:left w:val="single" w:sz="8" w:space="0" w:color="E0E0E0"/>
              <w:bottom w:val="single" w:sz="8" w:space="0" w:color="152935"/>
              <w:right w:val="single" w:sz="8" w:space="0" w:color="E0E0E0"/>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.416</w:t>
            </w:r>
          </w:p>
        </w:tc>
        <w:tc>
          <w:tcPr>
            <w:tcW w:w="958" w:type="dxa"/>
            <w:tcBorders>
              <w:top w:val="single" w:sz="8" w:space="0" w:color="AEAEAE"/>
              <w:left w:val="single" w:sz="8" w:space="0" w:color="E0E0E0"/>
              <w:bottom w:val="single" w:sz="8" w:space="0" w:color="152935"/>
              <w:right w:val="nil"/>
            </w:tcBorders>
            <w:shd w:val="clear" w:color="auto" w:fill="FFFFFF"/>
          </w:tcPr>
          <w:p w:rsidR="00124BE0" w:rsidRPr="002E439F" w:rsidRDefault="00124BE0" w:rsidP="00124BE0">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2.401</w:t>
            </w:r>
          </w:p>
        </w:tc>
      </w:tr>
      <w:tr w:rsidR="00124BE0" w:rsidRPr="002E439F" w:rsidTr="00124BE0">
        <w:trPr>
          <w:cantSplit/>
          <w:trHeight w:val="102"/>
        </w:trPr>
        <w:tc>
          <w:tcPr>
            <w:tcW w:w="9584" w:type="dxa"/>
            <w:gridSpan w:val="9"/>
            <w:tcBorders>
              <w:top w:val="nil"/>
              <w:left w:val="nil"/>
              <w:bottom w:val="nil"/>
              <w:right w:val="nil"/>
            </w:tcBorders>
            <w:shd w:val="clear" w:color="auto" w:fill="FFFFFF"/>
          </w:tcPr>
          <w:p w:rsidR="00124BE0" w:rsidRPr="002E439F" w:rsidRDefault="00124BE0" w:rsidP="00124BE0">
            <w:pPr>
              <w:autoSpaceDE w:val="0"/>
              <w:autoSpaceDN w:val="0"/>
              <w:adjustRightInd w:val="0"/>
              <w:spacing w:after="0" w:line="320" w:lineRule="atLeast"/>
              <w:ind w:left="60" w:right="60"/>
              <w:rPr>
                <w:rFonts w:ascii="Arial" w:hAnsi="Arial" w:cs="Arial"/>
                <w:color w:val="010205"/>
                <w:sz w:val="18"/>
                <w:szCs w:val="18"/>
              </w:rPr>
            </w:pPr>
            <w:r>
              <w:rPr>
                <w:rFonts w:ascii="Arial" w:hAnsi="Arial" w:cs="Arial"/>
                <w:color w:val="010205"/>
                <w:sz w:val="18"/>
                <w:szCs w:val="18"/>
              </w:rPr>
              <w:t>a. Dependent Variable: ROA</w:t>
            </w:r>
          </w:p>
        </w:tc>
      </w:tr>
    </w:tbl>
    <w:p w:rsidR="0013302C" w:rsidRDefault="00124BE0" w:rsidP="00124BE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SPSS 25 data sekunder, 2018</w:t>
      </w:r>
    </w:p>
    <w:p w:rsidR="00124BE0" w:rsidRDefault="00124BE0" w:rsidP="00124BE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tabel diatas dapat diketahui bahwa nilai </w:t>
      </w:r>
      <w:r w:rsidRPr="00124BE0">
        <w:rPr>
          <w:rFonts w:ascii="Times New Roman" w:hAnsi="Times New Roman" w:cs="Times New Roman"/>
          <w:i/>
          <w:sz w:val="24"/>
          <w:szCs w:val="24"/>
        </w:rPr>
        <w:t>Tolerance</w:t>
      </w:r>
      <w:r>
        <w:rPr>
          <w:rFonts w:ascii="Times New Roman" w:hAnsi="Times New Roman" w:cs="Times New Roman"/>
          <w:i/>
          <w:sz w:val="24"/>
          <w:szCs w:val="24"/>
        </w:rPr>
        <w:t xml:space="preserve"> </w:t>
      </w:r>
      <w:r>
        <w:rPr>
          <w:rFonts w:ascii="Times New Roman" w:hAnsi="Times New Roman" w:cs="Times New Roman"/>
          <w:sz w:val="24"/>
          <w:szCs w:val="24"/>
        </w:rPr>
        <w:t xml:space="preserve">untuk masing-masing variabel = 0,416 dan nilai VIF masing-masing variabel independen = 2,401 berarti dapat disimpulkan bahwa model regresi tersebut yang digunakan dalam penelitian ini tidak terdapat gejala multikorelasi karena memenuhi kriteria </w:t>
      </w:r>
      <w:r w:rsidRPr="00124BE0">
        <w:rPr>
          <w:rFonts w:ascii="Times New Roman" w:hAnsi="Times New Roman" w:cs="Times New Roman"/>
          <w:i/>
          <w:sz w:val="24"/>
          <w:szCs w:val="24"/>
        </w:rPr>
        <w:t xml:space="preserve">Tolerance </w:t>
      </w:r>
      <w:r w:rsidR="00CE7408">
        <w:rPr>
          <w:rFonts w:ascii="Times New Roman" w:hAnsi="Times New Roman" w:cs="Times New Roman"/>
          <w:sz w:val="24"/>
          <w:szCs w:val="24"/>
        </w:rPr>
        <w:t>&gt;0,10 dan VIF &lt;10.</w:t>
      </w:r>
    </w:p>
    <w:p w:rsidR="002030F2" w:rsidRDefault="002030F2" w:rsidP="00124BE0">
      <w:pPr>
        <w:spacing w:after="0" w:line="480" w:lineRule="auto"/>
        <w:jc w:val="both"/>
        <w:rPr>
          <w:rFonts w:ascii="Times New Roman" w:hAnsi="Times New Roman" w:cs="Times New Roman"/>
          <w:sz w:val="24"/>
          <w:szCs w:val="24"/>
        </w:rPr>
      </w:pPr>
    </w:p>
    <w:p w:rsidR="002030F2" w:rsidRDefault="002030F2" w:rsidP="00124BE0">
      <w:pPr>
        <w:spacing w:after="0" w:line="480" w:lineRule="auto"/>
        <w:jc w:val="both"/>
        <w:rPr>
          <w:rFonts w:ascii="Times New Roman" w:hAnsi="Times New Roman" w:cs="Times New Roman"/>
          <w:b/>
          <w:sz w:val="24"/>
          <w:szCs w:val="24"/>
        </w:rPr>
      </w:pPr>
      <w:r w:rsidRPr="002030F2">
        <w:rPr>
          <w:rFonts w:ascii="Times New Roman" w:hAnsi="Times New Roman" w:cs="Times New Roman"/>
          <w:b/>
          <w:sz w:val="24"/>
          <w:szCs w:val="24"/>
        </w:rPr>
        <w:t>4.2.1.3</w:t>
      </w:r>
      <w:r w:rsidRPr="002030F2">
        <w:rPr>
          <w:rFonts w:ascii="Times New Roman" w:hAnsi="Times New Roman" w:cs="Times New Roman"/>
          <w:b/>
          <w:sz w:val="24"/>
          <w:szCs w:val="24"/>
        </w:rPr>
        <w:tab/>
        <w:t>Uji Heteroskedastis</w:t>
      </w:r>
      <w:r>
        <w:rPr>
          <w:rFonts w:ascii="Times New Roman" w:hAnsi="Times New Roman" w:cs="Times New Roman"/>
          <w:b/>
          <w:sz w:val="24"/>
          <w:szCs w:val="24"/>
        </w:rPr>
        <w:t>i</w:t>
      </w:r>
      <w:r w:rsidRPr="002030F2">
        <w:rPr>
          <w:rFonts w:ascii="Times New Roman" w:hAnsi="Times New Roman" w:cs="Times New Roman"/>
          <w:b/>
          <w:sz w:val="24"/>
          <w:szCs w:val="24"/>
        </w:rPr>
        <w:t>tas</w:t>
      </w:r>
    </w:p>
    <w:p w:rsidR="003823E8" w:rsidRDefault="002030F2" w:rsidP="00124BE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2030F2">
        <w:rPr>
          <w:rFonts w:ascii="Times New Roman" w:hAnsi="Times New Roman" w:cs="Times New Roman"/>
          <w:i/>
          <w:sz w:val="24"/>
          <w:szCs w:val="24"/>
        </w:rPr>
        <w:t>Uji Heteroskedastisitas</w:t>
      </w:r>
      <w:r>
        <w:rPr>
          <w:rFonts w:ascii="Times New Roman" w:hAnsi="Times New Roman" w:cs="Times New Roman"/>
          <w:i/>
          <w:sz w:val="24"/>
          <w:szCs w:val="24"/>
        </w:rPr>
        <w:t xml:space="preserve"> </w:t>
      </w:r>
      <w:r>
        <w:rPr>
          <w:rFonts w:ascii="Times New Roman" w:hAnsi="Times New Roman" w:cs="Times New Roman"/>
          <w:sz w:val="24"/>
          <w:szCs w:val="24"/>
        </w:rPr>
        <w:t xml:space="preserve">bertujuan menguji apakah dalam model regresi terjadi ketidaksamaan </w:t>
      </w:r>
      <w:r w:rsidRPr="002030F2">
        <w:rPr>
          <w:rFonts w:ascii="Times New Roman" w:hAnsi="Times New Roman" w:cs="Times New Roman"/>
          <w:i/>
          <w:sz w:val="24"/>
          <w:szCs w:val="24"/>
        </w:rPr>
        <w:t>variance</w:t>
      </w:r>
      <w:r>
        <w:rPr>
          <w:rFonts w:ascii="Times New Roman" w:hAnsi="Times New Roman" w:cs="Times New Roman"/>
          <w:i/>
          <w:sz w:val="24"/>
          <w:szCs w:val="24"/>
        </w:rPr>
        <w:t xml:space="preserve"> </w:t>
      </w:r>
      <w:r>
        <w:rPr>
          <w:rFonts w:ascii="Times New Roman" w:hAnsi="Times New Roman" w:cs="Times New Roman"/>
          <w:sz w:val="24"/>
          <w:szCs w:val="24"/>
        </w:rPr>
        <w:t xml:space="preserve">dari residual satu ke pengamatan yang lain. Model regresi yang baik adalah yang </w:t>
      </w:r>
      <w:r w:rsidRPr="002030F2">
        <w:rPr>
          <w:rFonts w:ascii="Times New Roman" w:hAnsi="Times New Roman" w:cs="Times New Roman"/>
          <w:i/>
          <w:sz w:val="24"/>
          <w:szCs w:val="24"/>
        </w:rPr>
        <w:t>homoskedastisitas</w:t>
      </w:r>
      <w:r>
        <w:rPr>
          <w:rFonts w:ascii="Times New Roman" w:hAnsi="Times New Roman" w:cs="Times New Roman"/>
          <w:sz w:val="24"/>
          <w:szCs w:val="24"/>
        </w:rPr>
        <w:t xml:space="preserve"> atau tidak terjadi </w:t>
      </w:r>
      <w:r>
        <w:rPr>
          <w:rFonts w:ascii="Times New Roman" w:hAnsi="Times New Roman" w:cs="Times New Roman"/>
          <w:i/>
          <w:sz w:val="24"/>
          <w:szCs w:val="24"/>
        </w:rPr>
        <w:t>h</w:t>
      </w:r>
      <w:r w:rsidRPr="002030F2">
        <w:rPr>
          <w:rFonts w:ascii="Times New Roman" w:hAnsi="Times New Roman" w:cs="Times New Roman"/>
          <w:i/>
          <w:sz w:val="24"/>
          <w:szCs w:val="24"/>
        </w:rPr>
        <w:t>eteroskedastisitas</w:t>
      </w:r>
      <w:r>
        <w:rPr>
          <w:rFonts w:ascii="Times New Roman" w:hAnsi="Times New Roman" w:cs="Times New Roman"/>
          <w:sz w:val="24"/>
          <w:szCs w:val="24"/>
        </w:rPr>
        <w:t xml:space="preserve">. Untuk mengetahui apakah terjadi atau tidak </w:t>
      </w:r>
      <w:r>
        <w:rPr>
          <w:rFonts w:ascii="Times New Roman" w:hAnsi="Times New Roman" w:cs="Times New Roman"/>
          <w:i/>
          <w:sz w:val="24"/>
          <w:szCs w:val="24"/>
        </w:rPr>
        <w:t>h</w:t>
      </w:r>
      <w:r w:rsidRPr="002030F2">
        <w:rPr>
          <w:rFonts w:ascii="Times New Roman" w:hAnsi="Times New Roman" w:cs="Times New Roman"/>
          <w:i/>
          <w:sz w:val="24"/>
          <w:szCs w:val="24"/>
        </w:rPr>
        <w:t>eteroskedastisitas</w:t>
      </w:r>
      <w:r>
        <w:rPr>
          <w:rFonts w:ascii="Times New Roman" w:hAnsi="Times New Roman" w:cs="Times New Roman"/>
          <w:i/>
          <w:sz w:val="24"/>
          <w:szCs w:val="24"/>
        </w:rPr>
        <w:t xml:space="preserve"> </w:t>
      </w:r>
      <w:r>
        <w:rPr>
          <w:rFonts w:ascii="Times New Roman" w:hAnsi="Times New Roman" w:cs="Times New Roman"/>
          <w:sz w:val="24"/>
          <w:szCs w:val="24"/>
        </w:rPr>
        <w:t xml:space="preserve">dapat dilihat pada grafik </w:t>
      </w:r>
      <w:r w:rsidRPr="002030F2">
        <w:rPr>
          <w:rFonts w:ascii="Times New Roman" w:hAnsi="Times New Roman" w:cs="Times New Roman"/>
          <w:i/>
          <w:sz w:val="24"/>
          <w:szCs w:val="24"/>
        </w:rPr>
        <w:t xml:space="preserve">scatter </w:t>
      </w:r>
      <w:r>
        <w:rPr>
          <w:rFonts w:ascii="Times New Roman" w:hAnsi="Times New Roman" w:cs="Times New Roman"/>
          <w:sz w:val="24"/>
          <w:szCs w:val="24"/>
        </w:rPr>
        <w:t>plot:</w:t>
      </w:r>
    </w:p>
    <w:p w:rsidR="0013302C" w:rsidRDefault="003823E8" w:rsidP="003823E8">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lastRenderedPageBreak/>
        <w:drawing>
          <wp:inline distT="0" distB="0" distL="0" distR="0" wp14:anchorId="706EF38D" wp14:editId="6B825697">
            <wp:extent cx="5400040" cy="31759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0040" cy="3175985"/>
                    </a:xfrm>
                    <a:prstGeom prst="rect">
                      <a:avLst/>
                    </a:prstGeom>
                    <a:noFill/>
                    <a:ln>
                      <a:noFill/>
                    </a:ln>
                  </pic:spPr>
                </pic:pic>
              </a:graphicData>
            </a:graphic>
          </wp:inline>
        </w:drawing>
      </w:r>
    </w:p>
    <w:p w:rsidR="003823E8" w:rsidRDefault="003823E8" w:rsidP="003823E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4.5 Hasil Uji Heteroskedastisitas</w:t>
      </w:r>
    </w:p>
    <w:p w:rsidR="003823E8" w:rsidRDefault="003823E8" w:rsidP="003823E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SPSS 25 data sekunder,2018</w:t>
      </w:r>
    </w:p>
    <w:p w:rsidR="004174DA" w:rsidRDefault="00D30122" w:rsidP="00D30122">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Gambar 4.5 menunjukan bahwa tidak terjadi heteroskedastisitas, karena tidak ada pola yang jelas serta titik-titik menyebar diatas dan di</w:t>
      </w:r>
      <w:r w:rsidR="004174DA">
        <w:rPr>
          <w:rFonts w:ascii="Times New Roman" w:hAnsi="Times New Roman" w:cs="Times New Roman"/>
          <w:sz w:val="24"/>
          <w:szCs w:val="24"/>
        </w:rPr>
        <w:t>bawah nol sumbu.</w:t>
      </w:r>
    </w:p>
    <w:p w:rsidR="004174DA" w:rsidRDefault="004174DA" w:rsidP="00D30122">
      <w:pPr>
        <w:spacing w:after="0" w:line="480" w:lineRule="auto"/>
        <w:jc w:val="both"/>
        <w:rPr>
          <w:rFonts w:ascii="Times New Roman" w:hAnsi="Times New Roman" w:cs="Times New Roman"/>
          <w:sz w:val="24"/>
          <w:szCs w:val="24"/>
        </w:rPr>
      </w:pPr>
    </w:p>
    <w:p w:rsidR="00D30122" w:rsidRDefault="00D30122" w:rsidP="00D30122">
      <w:pPr>
        <w:spacing w:after="0" w:line="480" w:lineRule="auto"/>
        <w:jc w:val="both"/>
        <w:rPr>
          <w:rFonts w:ascii="Times New Roman" w:hAnsi="Times New Roman" w:cs="Times New Roman"/>
          <w:b/>
          <w:sz w:val="24"/>
          <w:szCs w:val="24"/>
        </w:rPr>
      </w:pPr>
      <w:r w:rsidRPr="00D30122">
        <w:rPr>
          <w:rFonts w:ascii="Times New Roman" w:hAnsi="Times New Roman" w:cs="Times New Roman"/>
          <w:b/>
          <w:sz w:val="24"/>
          <w:szCs w:val="24"/>
        </w:rPr>
        <w:t>4.2.1.4</w:t>
      </w:r>
      <w:r w:rsidRPr="00D30122">
        <w:rPr>
          <w:rFonts w:ascii="Times New Roman" w:hAnsi="Times New Roman" w:cs="Times New Roman"/>
          <w:b/>
          <w:sz w:val="24"/>
          <w:szCs w:val="24"/>
        </w:rPr>
        <w:tab/>
        <w:t>Uji Autokorelasi</w:t>
      </w:r>
    </w:p>
    <w:p w:rsidR="00D30122" w:rsidRDefault="00D30122" w:rsidP="00D30122">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4174DA">
        <w:rPr>
          <w:rFonts w:ascii="Times New Roman" w:hAnsi="Times New Roman" w:cs="Times New Roman"/>
          <w:sz w:val="24"/>
          <w:szCs w:val="24"/>
        </w:rPr>
        <w:t>Hasil pengujian autokorelasi dapat dilihat pada tabel 4.6 berikut:</w:t>
      </w:r>
    </w:p>
    <w:p w:rsidR="004174DA" w:rsidRDefault="004174DA" w:rsidP="004174D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4.6 </w:t>
      </w:r>
      <w:r w:rsidRPr="004174DA">
        <w:rPr>
          <w:rFonts w:ascii="Times New Roman" w:hAnsi="Times New Roman" w:cs="Times New Roman"/>
          <w:b/>
          <w:sz w:val="24"/>
          <w:szCs w:val="24"/>
        </w:rPr>
        <w:t>Hasil Pengujian Autokorelasi</w:t>
      </w:r>
    </w:p>
    <w:tbl>
      <w:tblPr>
        <w:tblW w:w="3533" w:type="dxa"/>
        <w:tblInd w:w="24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65"/>
        <w:gridCol w:w="1468"/>
      </w:tblGrid>
      <w:tr w:rsidR="004174DA" w:rsidRPr="002E439F" w:rsidTr="004174DA">
        <w:trPr>
          <w:cantSplit/>
        </w:trPr>
        <w:tc>
          <w:tcPr>
            <w:tcW w:w="3533" w:type="dxa"/>
            <w:gridSpan w:val="2"/>
            <w:tcBorders>
              <w:top w:val="nil"/>
              <w:left w:val="nil"/>
              <w:bottom w:val="nil"/>
              <w:right w:val="nil"/>
            </w:tcBorders>
            <w:shd w:val="clear" w:color="auto" w:fill="FFFFFF"/>
            <w:vAlign w:val="center"/>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Runs Test</w:t>
            </w:r>
          </w:p>
        </w:tc>
      </w:tr>
      <w:tr w:rsidR="004174DA" w:rsidRPr="002E439F" w:rsidTr="004174DA">
        <w:trPr>
          <w:cantSplit/>
        </w:trPr>
        <w:tc>
          <w:tcPr>
            <w:tcW w:w="2065" w:type="dxa"/>
            <w:tcBorders>
              <w:top w:val="nil"/>
              <w:left w:val="nil"/>
              <w:bottom w:val="single" w:sz="8" w:space="0" w:color="152935"/>
              <w:right w:val="nil"/>
            </w:tcBorders>
            <w:shd w:val="clear" w:color="auto" w:fill="FFFFFF"/>
            <w:vAlign w:val="bottom"/>
          </w:tcPr>
          <w:p w:rsidR="004174DA" w:rsidRPr="002E439F" w:rsidRDefault="004174DA" w:rsidP="000F622F">
            <w:pPr>
              <w:autoSpaceDE w:val="0"/>
              <w:autoSpaceDN w:val="0"/>
              <w:adjustRightInd w:val="0"/>
              <w:spacing w:after="0" w:line="240" w:lineRule="auto"/>
              <w:rPr>
                <w:rFonts w:ascii="Times New Roman" w:hAnsi="Times New Roman" w:cs="Times New Roman"/>
                <w:sz w:val="24"/>
                <w:szCs w:val="24"/>
              </w:rPr>
            </w:pPr>
          </w:p>
        </w:tc>
        <w:tc>
          <w:tcPr>
            <w:tcW w:w="1468" w:type="dxa"/>
            <w:tcBorders>
              <w:top w:val="nil"/>
              <w:left w:val="nil"/>
              <w:bottom w:val="single" w:sz="8" w:space="0" w:color="152935"/>
              <w:right w:val="nil"/>
            </w:tcBorders>
            <w:shd w:val="clear" w:color="auto" w:fill="FFFFFF"/>
            <w:vAlign w:val="bottom"/>
          </w:tcPr>
          <w:p w:rsidR="004174DA" w:rsidRPr="002E439F" w:rsidRDefault="004174D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Unstandardized Residual</w:t>
            </w:r>
          </w:p>
        </w:tc>
      </w:tr>
      <w:tr w:rsidR="004174DA" w:rsidRPr="002E439F" w:rsidTr="004174DA">
        <w:trPr>
          <w:cantSplit/>
        </w:trPr>
        <w:tc>
          <w:tcPr>
            <w:tcW w:w="2065" w:type="dxa"/>
            <w:tcBorders>
              <w:top w:val="single" w:sz="8" w:space="0" w:color="152935"/>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Test Value</w:t>
            </w:r>
            <w:r w:rsidRPr="002E439F">
              <w:rPr>
                <w:rFonts w:ascii="Arial" w:hAnsi="Arial" w:cs="Arial"/>
                <w:color w:val="264A60"/>
                <w:sz w:val="18"/>
                <w:szCs w:val="18"/>
                <w:vertAlign w:val="superscript"/>
              </w:rPr>
              <w:t>a</w:t>
            </w:r>
          </w:p>
        </w:tc>
        <w:tc>
          <w:tcPr>
            <w:tcW w:w="1468" w:type="dxa"/>
            <w:tcBorders>
              <w:top w:val="single" w:sz="8" w:space="0" w:color="152935"/>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-.02475</w:t>
            </w:r>
          </w:p>
        </w:tc>
      </w:tr>
      <w:tr w:rsidR="004174DA" w:rsidRPr="002E439F" w:rsidTr="004174DA">
        <w:trPr>
          <w:cantSplit/>
        </w:trPr>
        <w:tc>
          <w:tcPr>
            <w:tcW w:w="2065"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Cases &lt; Test Value</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w:t>
            </w:r>
          </w:p>
        </w:tc>
      </w:tr>
      <w:tr w:rsidR="004174DA" w:rsidRPr="002E439F" w:rsidTr="004174DA">
        <w:trPr>
          <w:cantSplit/>
        </w:trPr>
        <w:tc>
          <w:tcPr>
            <w:tcW w:w="2065"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Cases &gt;= Test Value</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w:t>
            </w:r>
          </w:p>
        </w:tc>
      </w:tr>
      <w:tr w:rsidR="004174DA" w:rsidRPr="002E439F" w:rsidTr="004174DA">
        <w:trPr>
          <w:cantSplit/>
        </w:trPr>
        <w:tc>
          <w:tcPr>
            <w:tcW w:w="2065"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Total Cases</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6</w:t>
            </w:r>
          </w:p>
        </w:tc>
      </w:tr>
      <w:tr w:rsidR="004174DA" w:rsidRPr="002E439F" w:rsidTr="004174DA">
        <w:trPr>
          <w:cantSplit/>
        </w:trPr>
        <w:tc>
          <w:tcPr>
            <w:tcW w:w="2065"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Number of Runs</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w:t>
            </w:r>
          </w:p>
        </w:tc>
      </w:tr>
      <w:tr w:rsidR="004174DA" w:rsidRPr="002E439F" w:rsidTr="004174DA">
        <w:trPr>
          <w:cantSplit/>
        </w:trPr>
        <w:tc>
          <w:tcPr>
            <w:tcW w:w="2065" w:type="dxa"/>
            <w:tcBorders>
              <w:top w:val="single" w:sz="8" w:space="0" w:color="AEAEAE"/>
              <w:left w:val="nil"/>
              <w:bottom w:val="single" w:sz="8" w:space="0" w:color="AEAEAE"/>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Z</w:t>
            </w:r>
          </w:p>
        </w:tc>
        <w:tc>
          <w:tcPr>
            <w:tcW w:w="1468" w:type="dxa"/>
            <w:tcBorders>
              <w:top w:val="single" w:sz="8" w:space="0" w:color="AEAEAE"/>
              <w:left w:val="nil"/>
              <w:bottom w:val="single" w:sz="8" w:space="0" w:color="AEAEAE"/>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.000</w:t>
            </w:r>
          </w:p>
        </w:tc>
      </w:tr>
      <w:tr w:rsidR="004174DA" w:rsidRPr="002E439F" w:rsidTr="004174DA">
        <w:trPr>
          <w:cantSplit/>
        </w:trPr>
        <w:tc>
          <w:tcPr>
            <w:tcW w:w="2065" w:type="dxa"/>
            <w:tcBorders>
              <w:top w:val="single" w:sz="8" w:space="0" w:color="AEAEAE"/>
              <w:left w:val="nil"/>
              <w:bottom w:val="single" w:sz="8" w:space="0" w:color="152935"/>
              <w:right w:val="nil"/>
            </w:tcBorders>
            <w:shd w:val="clear" w:color="auto" w:fill="E0E0E0"/>
          </w:tcPr>
          <w:p w:rsidR="004174DA" w:rsidRPr="002E439F" w:rsidRDefault="004174D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Asymp. Sig. (2-tailed)</w:t>
            </w:r>
          </w:p>
        </w:tc>
        <w:tc>
          <w:tcPr>
            <w:tcW w:w="1468" w:type="dxa"/>
            <w:tcBorders>
              <w:top w:val="single" w:sz="8" w:space="0" w:color="AEAEAE"/>
              <w:left w:val="nil"/>
              <w:bottom w:val="single" w:sz="8" w:space="0" w:color="152935"/>
              <w:right w:val="nil"/>
            </w:tcBorders>
            <w:shd w:val="clear" w:color="auto" w:fill="FFFFFF"/>
          </w:tcPr>
          <w:p w:rsidR="004174DA" w:rsidRPr="002E439F" w:rsidRDefault="004174D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1.000</w:t>
            </w:r>
          </w:p>
        </w:tc>
      </w:tr>
      <w:tr w:rsidR="004174DA" w:rsidRPr="002E439F" w:rsidTr="004174DA">
        <w:trPr>
          <w:cantSplit/>
        </w:trPr>
        <w:tc>
          <w:tcPr>
            <w:tcW w:w="3533" w:type="dxa"/>
            <w:gridSpan w:val="2"/>
            <w:tcBorders>
              <w:top w:val="nil"/>
              <w:left w:val="nil"/>
              <w:bottom w:val="nil"/>
              <w:right w:val="nil"/>
            </w:tcBorders>
            <w:shd w:val="clear" w:color="auto" w:fill="FFFFFF"/>
          </w:tcPr>
          <w:p w:rsidR="004174DA" w:rsidRPr="002E439F" w:rsidRDefault="004174DA" w:rsidP="000F622F">
            <w:pPr>
              <w:autoSpaceDE w:val="0"/>
              <w:autoSpaceDN w:val="0"/>
              <w:adjustRightInd w:val="0"/>
              <w:spacing w:after="0" w:line="320" w:lineRule="atLeast"/>
              <w:ind w:left="60" w:right="60"/>
              <w:rPr>
                <w:rFonts w:ascii="Arial" w:hAnsi="Arial" w:cs="Arial"/>
                <w:color w:val="010205"/>
                <w:sz w:val="18"/>
                <w:szCs w:val="18"/>
              </w:rPr>
            </w:pPr>
            <w:r w:rsidRPr="002E439F">
              <w:rPr>
                <w:rFonts w:ascii="Arial" w:hAnsi="Arial" w:cs="Arial"/>
                <w:color w:val="010205"/>
                <w:sz w:val="18"/>
                <w:szCs w:val="18"/>
              </w:rPr>
              <w:t>a. Median</w:t>
            </w:r>
          </w:p>
        </w:tc>
      </w:tr>
    </w:tbl>
    <w:p w:rsidR="004174DA" w:rsidRDefault="004174DA" w:rsidP="004174DA">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SPSS 25, data sekunder,2018</w:t>
      </w:r>
    </w:p>
    <w:p w:rsidR="004174DA" w:rsidRDefault="004174DA" w:rsidP="004174DA">
      <w:pPr>
        <w:spacing w:after="0" w:line="480" w:lineRule="auto"/>
        <w:ind w:firstLine="720"/>
        <w:jc w:val="both"/>
        <w:rPr>
          <w:rFonts w:ascii="Times New Roman" w:hAnsi="Times New Roman" w:cs="Times New Roman"/>
          <w:sz w:val="24"/>
          <w:szCs w:val="24"/>
        </w:rPr>
      </w:pPr>
      <w:r w:rsidRPr="004174DA">
        <w:rPr>
          <w:rFonts w:ascii="Times New Roman" w:hAnsi="Times New Roman" w:cs="Times New Roman"/>
          <w:sz w:val="24"/>
          <w:szCs w:val="24"/>
        </w:rPr>
        <w:lastRenderedPageBreak/>
        <w:t xml:space="preserve">Dari </w:t>
      </w:r>
      <w:r>
        <w:rPr>
          <w:rFonts w:ascii="Times New Roman" w:hAnsi="Times New Roman" w:cs="Times New Roman"/>
          <w:sz w:val="24"/>
          <w:szCs w:val="24"/>
        </w:rPr>
        <w:t xml:space="preserve">hasil tabel diatas pada kolom </w:t>
      </w:r>
      <w:r w:rsidRPr="004174DA">
        <w:rPr>
          <w:rFonts w:ascii="Times New Roman" w:hAnsi="Times New Roman" w:cs="Times New Roman"/>
          <w:i/>
          <w:sz w:val="24"/>
          <w:szCs w:val="24"/>
        </w:rPr>
        <w:t xml:space="preserve">Asymp. Sig (2-tailed) </w:t>
      </w:r>
      <w:r>
        <w:rPr>
          <w:rFonts w:ascii="Times New Roman" w:hAnsi="Times New Roman" w:cs="Times New Roman"/>
          <w:sz w:val="24"/>
          <w:szCs w:val="24"/>
        </w:rPr>
        <w:t xml:space="preserve">adalah 1000 berarti dapat disimpulkan tidak terjadi autokorelasi karena telah memenuhi kriteria yaitu  </w:t>
      </w:r>
      <w:r w:rsidRPr="004174DA">
        <w:rPr>
          <w:rFonts w:ascii="Times New Roman" w:hAnsi="Times New Roman" w:cs="Times New Roman"/>
          <w:i/>
          <w:sz w:val="24"/>
          <w:szCs w:val="24"/>
        </w:rPr>
        <w:t>Asymp. Sig (2-tailed)</w:t>
      </w:r>
      <w:r>
        <w:rPr>
          <w:rFonts w:ascii="Times New Roman" w:hAnsi="Times New Roman" w:cs="Times New Roman"/>
          <w:sz w:val="24"/>
          <w:szCs w:val="24"/>
        </w:rPr>
        <w:t xml:space="preserve"> &gt; 0,05.</w:t>
      </w:r>
    </w:p>
    <w:p w:rsidR="004174DA" w:rsidRDefault="004174DA" w:rsidP="004174DA">
      <w:pPr>
        <w:spacing w:after="0" w:line="480" w:lineRule="auto"/>
        <w:jc w:val="both"/>
        <w:rPr>
          <w:rFonts w:ascii="Times New Roman" w:hAnsi="Times New Roman" w:cs="Times New Roman"/>
          <w:sz w:val="24"/>
          <w:szCs w:val="24"/>
        </w:rPr>
      </w:pPr>
    </w:p>
    <w:p w:rsidR="004174DA" w:rsidRDefault="004174DA" w:rsidP="004174DA">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4.2.2</w:t>
      </w:r>
      <w:r>
        <w:rPr>
          <w:rFonts w:ascii="Times New Roman" w:hAnsi="Times New Roman" w:cs="Times New Roman"/>
          <w:b/>
          <w:sz w:val="24"/>
          <w:szCs w:val="24"/>
        </w:rPr>
        <w:tab/>
        <w:t>Analisi</w:t>
      </w:r>
      <w:r w:rsidR="00A95D05">
        <w:rPr>
          <w:rFonts w:ascii="Times New Roman" w:hAnsi="Times New Roman" w:cs="Times New Roman"/>
          <w:b/>
          <w:sz w:val="24"/>
          <w:szCs w:val="24"/>
          <w:lang w:val="en-US"/>
        </w:rPr>
        <w:t>s</w:t>
      </w:r>
      <w:r>
        <w:rPr>
          <w:rFonts w:ascii="Times New Roman" w:hAnsi="Times New Roman" w:cs="Times New Roman"/>
          <w:b/>
          <w:sz w:val="24"/>
          <w:szCs w:val="24"/>
        </w:rPr>
        <w:t xml:space="preserve"> Regresi Linier Berganda</w:t>
      </w:r>
    </w:p>
    <w:p w:rsidR="004174DA" w:rsidRDefault="004174DA" w:rsidP="004174DA">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CA29AC">
        <w:rPr>
          <w:rFonts w:ascii="Times New Roman" w:hAnsi="Times New Roman" w:cs="Times New Roman"/>
          <w:sz w:val="24"/>
          <w:szCs w:val="24"/>
        </w:rPr>
        <w:t>Analisis Regresi Linier Berganda adalah analisis untuk mengukur besarnya pengaruh antara dua variabel atau lebih variabel independen terhadap satu variabel dependen dan memprediksi variabel independen. Dengan menggunakan SPSS versi 25, persamaan regresi dapat dilihat dari tabel koefisien berikut:</w:t>
      </w:r>
    </w:p>
    <w:p w:rsidR="00CA29AC" w:rsidRPr="00CA29AC" w:rsidRDefault="00CA29AC" w:rsidP="00CA29AC">
      <w:pPr>
        <w:spacing w:after="0" w:line="480" w:lineRule="auto"/>
        <w:jc w:val="center"/>
        <w:rPr>
          <w:rFonts w:ascii="Times New Roman" w:hAnsi="Times New Roman" w:cs="Times New Roman"/>
          <w:b/>
          <w:sz w:val="24"/>
          <w:szCs w:val="24"/>
        </w:rPr>
      </w:pPr>
      <w:r w:rsidRPr="00CA29AC">
        <w:rPr>
          <w:rFonts w:ascii="Times New Roman" w:hAnsi="Times New Roman" w:cs="Times New Roman"/>
          <w:b/>
          <w:sz w:val="24"/>
          <w:szCs w:val="24"/>
        </w:rPr>
        <w:t>Tabel 4.7</w:t>
      </w:r>
    </w:p>
    <w:p w:rsidR="00CA29AC" w:rsidRDefault="00CA29AC" w:rsidP="00CA29AC">
      <w:pPr>
        <w:spacing w:after="0" w:line="480" w:lineRule="auto"/>
        <w:jc w:val="center"/>
        <w:rPr>
          <w:rFonts w:ascii="Times New Roman" w:hAnsi="Times New Roman" w:cs="Times New Roman"/>
          <w:b/>
          <w:sz w:val="24"/>
          <w:szCs w:val="24"/>
        </w:rPr>
      </w:pPr>
      <w:r w:rsidRPr="00CA29AC">
        <w:rPr>
          <w:rFonts w:ascii="Times New Roman" w:hAnsi="Times New Roman" w:cs="Times New Roman"/>
          <w:b/>
          <w:sz w:val="24"/>
          <w:szCs w:val="24"/>
        </w:rPr>
        <w:t>Hasil Uji Regresi Linier Berganda</w:t>
      </w:r>
    </w:p>
    <w:tbl>
      <w:tblPr>
        <w:tblW w:w="9584" w:type="dxa"/>
        <w:tblInd w:w="-5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87"/>
        <w:gridCol w:w="1102"/>
        <w:gridCol w:w="1245"/>
        <w:gridCol w:w="1245"/>
        <w:gridCol w:w="1373"/>
        <w:gridCol w:w="958"/>
        <w:gridCol w:w="958"/>
        <w:gridCol w:w="1058"/>
        <w:gridCol w:w="958"/>
      </w:tblGrid>
      <w:tr w:rsidR="00CA29AC" w:rsidRPr="002E439F" w:rsidTr="000F622F">
        <w:trPr>
          <w:cantSplit/>
          <w:trHeight w:val="312"/>
        </w:trPr>
        <w:tc>
          <w:tcPr>
            <w:tcW w:w="9584" w:type="dxa"/>
            <w:gridSpan w:val="9"/>
            <w:tcBorders>
              <w:top w:val="nil"/>
              <w:left w:val="nil"/>
              <w:bottom w:val="nil"/>
              <w:right w:val="nil"/>
            </w:tcBorders>
            <w:shd w:val="clear" w:color="auto" w:fill="FFFFFF"/>
            <w:vAlign w:val="center"/>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Coefficients</w:t>
            </w:r>
            <w:r w:rsidRPr="002E439F">
              <w:rPr>
                <w:rFonts w:ascii="Arial" w:hAnsi="Arial" w:cs="Arial"/>
                <w:b/>
                <w:bCs/>
                <w:color w:val="010205"/>
                <w:vertAlign w:val="superscript"/>
              </w:rPr>
              <w:t>a</w:t>
            </w:r>
          </w:p>
        </w:tc>
      </w:tr>
      <w:tr w:rsidR="00CA29AC" w:rsidRPr="002E439F" w:rsidTr="000F622F">
        <w:trPr>
          <w:cantSplit/>
          <w:trHeight w:val="595"/>
        </w:trPr>
        <w:tc>
          <w:tcPr>
            <w:tcW w:w="1789" w:type="dxa"/>
            <w:gridSpan w:val="2"/>
            <w:vMerge w:val="restart"/>
            <w:tcBorders>
              <w:top w:val="nil"/>
              <w:left w:val="nil"/>
              <w:bottom w:val="nil"/>
              <w:right w:val="nil"/>
            </w:tcBorders>
            <w:shd w:val="clear" w:color="auto" w:fill="FFFFFF"/>
            <w:vAlign w:val="bottom"/>
          </w:tcPr>
          <w:p w:rsidR="00CA29AC" w:rsidRPr="002E439F" w:rsidRDefault="00CA29AC"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Model</w:t>
            </w:r>
          </w:p>
        </w:tc>
        <w:tc>
          <w:tcPr>
            <w:tcW w:w="2490" w:type="dxa"/>
            <w:gridSpan w:val="2"/>
            <w:tcBorders>
              <w:top w:val="nil"/>
              <w:left w:val="nil"/>
              <w:bottom w:val="nil"/>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Unstandardized Coefficients</w:t>
            </w:r>
          </w:p>
        </w:tc>
        <w:tc>
          <w:tcPr>
            <w:tcW w:w="1373" w:type="dxa"/>
            <w:tcBorders>
              <w:top w:val="nil"/>
              <w:left w:val="single" w:sz="8" w:space="0" w:color="E0E0E0"/>
              <w:bottom w:val="nil"/>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Standardized Coefficients</w:t>
            </w:r>
          </w:p>
        </w:tc>
        <w:tc>
          <w:tcPr>
            <w:tcW w:w="958" w:type="dxa"/>
            <w:vMerge w:val="restart"/>
            <w:tcBorders>
              <w:top w:val="nil"/>
              <w:left w:val="single" w:sz="8" w:space="0" w:color="E0E0E0"/>
              <w:bottom w:val="nil"/>
              <w:right w:val="single" w:sz="8" w:space="0" w:color="E0E0E0"/>
            </w:tcBorders>
            <w:shd w:val="clear" w:color="auto" w:fill="FFFFFF"/>
            <w:vAlign w:val="bottom"/>
          </w:tcPr>
          <w:p w:rsidR="00CA29AC" w:rsidRPr="002E439F" w:rsidRDefault="00143B4F"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w:t>
            </w:r>
          </w:p>
        </w:tc>
        <w:tc>
          <w:tcPr>
            <w:tcW w:w="958" w:type="dxa"/>
            <w:vMerge w:val="restart"/>
            <w:tcBorders>
              <w:top w:val="nil"/>
              <w:left w:val="single" w:sz="8" w:space="0" w:color="E0E0E0"/>
              <w:bottom w:val="nil"/>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Sig.</w:t>
            </w:r>
          </w:p>
        </w:tc>
        <w:tc>
          <w:tcPr>
            <w:tcW w:w="2016" w:type="dxa"/>
            <w:gridSpan w:val="2"/>
            <w:tcBorders>
              <w:top w:val="nil"/>
              <w:left w:val="single" w:sz="8" w:space="0" w:color="E0E0E0"/>
              <w:bottom w:val="nil"/>
              <w:right w:val="nil"/>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Collinearity Statistics</w:t>
            </w:r>
          </w:p>
        </w:tc>
      </w:tr>
      <w:tr w:rsidR="00CA29AC" w:rsidRPr="002E439F" w:rsidTr="000F622F">
        <w:trPr>
          <w:cantSplit/>
          <w:trHeight w:val="135"/>
        </w:trPr>
        <w:tc>
          <w:tcPr>
            <w:tcW w:w="1789" w:type="dxa"/>
            <w:gridSpan w:val="2"/>
            <w:vMerge/>
            <w:tcBorders>
              <w:top w:val="nil"/>
              <w:left w:val="nil"/>
              <w:bottom w:val="nil"/>
              <w:right w:val="nil"/>
            </w:tcBorders>
            <w:shd w:val="clear" w:color="auto" w:fill="FFFFFF"/>
            <w:vAlign w:val="bottom"/>
          </w:tcPr>
          <w:p w:rsidR="00CA29AC" w:rsidRPr="002E439F" w:rsidRDefault="00CA29AC" w:rsidP="000F622F">
            <w:pPr>
              <w:autoSpaceDE w:val="0"/>
              <w:autoSpaceDN w:val="0"/>
              <w:adjustRightInd w:val="0"/>
              <w:spacing w:after="0" w:line="240" w:lineRule="auto"/>
              <w:rPr>
                <w:rFonts w:ascii="Arial" w:hAnsi="Arial" w:cs="Arial"/>
                <w:color w:val="264A60"/>
                <w:sz w:val="18"/>
                <w:szCs w:val="18"/>
              </w:rPr>
            </w:pPr>
          </w:p>
        </w:tc>
        <w:tc>
          <w:tcPr>
            <w:tcW w:w="1245" w:type="dxa"/>
            <w:tcBorders>
              <w:top w:val="nil"/>
              <w:left w:val="nil"/>
              <w:bottom w:val="single" w:sz="8" w:space="0" w:color="152935"/>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w:t>
            </w:r>
          </w:p>
        </w:tc>
        <w:tc>
          <w:tcPr>
            <w:tcW w:w="1245" w:type="dxa"/>
            <w:tcBorders>
              <w:top w:val="nil"/>
              <w:left w:val="single" w:sz="8" w:space="0" w:color="E0E0E0"/>
              <w:bottom w:val="single" w:sz="8" w:space="0" w:color="152935"/>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Std. Error</w:t>
            </w:r>
          </w:p>
        </w:tc>
        <w:tc>
          <w:tcPr>
            <w:tcW w:w="1373" w:type="dxa"/>
            <w:tcBorders>
              <w:top w:val="nil"/>
              <w:left w:val="single" w:sz="8" w:space="0" w:color="E0E0E0"/>
              <w:bottom w:val="single" w:sz="8" w:space="0" w:color="152935"/>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Beta</w:t>
            </w:r>
          </w:p>
        </w:tc>
        <w:tc>
          <w:tcPr>
            <w:tcW w:w="958" w:type="dxa"/>
            <w:vMerge/>
            <w:tcBorders>
              <w:top w:val="nil"/>
              <w:left w:val="single" w:sz="8" w:space="0" w:color="E0E0E0"/>
              <w:bottom w:val="nil"/>
              <w:right w:val="single" w:sz="8" w:space="0" w:color="E0E0E0"/>
            </w:tcBorders>
            <w:shd w:val="clear" w:color="auto" w:fill="FFFFFF"/>
            <w:vAlign w:val="bottom"/>
          </w:tcPr>
          <w:p w:rsidR="00CA29AC" w:rsidRPr="002E439F" w:rsidRDefault="00CA29AC" w:rsidP="000F622F">
            <w:pPr>
              <w:autoSpaceDE w:val="0"/>
              <w:autoSpaceDN w:val="0"/>
              <w:adjustRightInd w:val="0"/>
              <w:spacing w:after="0" w:line="240" w:lineRule="auto"/>
              <w:rPr>
                <w:rFonts w:ascii="Arial" w:hAnsi="Arial" w:cs="Arial"/>
                <w:color w:val="264A60"/>
                <w:sz w:val="18"/>
                <w:szCs w:val="18"/>
              </w:rPr>
            </w:pPr>
          </w:p>
        </w:tc>
        <w:tc>
          <w:tcPr>
            <w:tcW w:w="958" w:type="dxa"/>
            <w:vMerge/>
            <w:tcBorders>
              <w:top w:val="nil"/>
              <w:left w:val="single" w:sz="8" w:space="0" w:color="E0E0E0"/>
              <w:bottom w:val="nil"/>
              <w:right w:val="single" w:sz="8" w:space="0" w:color="E0E0E0"/>
            </w:tcBorders>
            <w:shd w:val="clear" w:color="auto" w:fill="FFFFFF"/>
            <w:vAlign w:val="bottom"/>
          </w:tcPr>
          <w:p w:rsidR="00CA29AC" w:rsidRPr="002E439F" w:rsidRDefault="00CA29AC" w:rsidP="000F622F">
            <w:pPr>
              <w:autoSpaceDE w:val="0"/>
              <w:autoSpaceDN w:val="0"/>
              <w:adjustRightInd w:val="0"/>
              <w:spacing w:after="0" w:line="240" w:lineRule="auto"/>
              <w:rPr>
                <w:rFonts w:ascii="Arial" w:hAnsi="Arial" w:cs="Arial"/>
                <w:color w:val="264A60"/>
                <w:sz w:val="18"/>
                <w:szCs w:val="18"/>
              </w:rPr>
            </w:pPr>
          </w:p>
        </w:tc>
        <w:tc>
          <w:tcPr>
            <w:tcW w:w="1058" w:type="dxa"/>
            <w:tcBorders>
              <w:top w:val="nil"/>
              <w:left w:val="single" w:sz="8" w:space="0" w:color="E0E0E0"/>
              <w:bottom w:val="single" w:sz="8" w:space="0" w:color="152935"/>
              <w:right w:val="single" w:sz="8" w:space="0" w:color="E0E0E0"/>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Tolerance</w:t>
            </w:r>
          </w:p>
        </w:tc>
        <w:tc>
          <w:tcPr>
            <w:tcW w:w="958" w:type="dxa"/>
            <w:tcBorders>
              <w:top w:val="nil"/>
              <w:left w:val="single" w:sz="8" w:space="0" w:color="E0E0E0"/>
              <w:bottom w:val="single" w:sz="8" w:space="0" w:color="152935"/>
              <w:right w:val="nil"/>
            </w:tcBorders>
            <w:shd w:val="clear" w:color="auto" w:fill="FFFFFF"/>
            <w:vAlign w:val="bottom"/>
          </w:tcPr>
          <w:p w:rsidR="00CA29AC" w:rsidRPr="002E439F" w:rsidRDefault="00CA29AC"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VIF</w:t>
            </w:r>
          </w:p>
        </w:tc>
      </w:tr>
      <w:tr w:rsidR="00CA29AC" w:rsidRPr="002E439F" w:rsidTr="000F622F">
        <w:trPr>
          <w:cantSplit/>
          <w:trHeight w:val="312"/>
        </w:trPr>
        <w:tc>
          <w:tcPr>
            <w:tcW w:w="687" w:type="dxa"/>
            <w:vMerge w:val="restart"/>
            <w:tcBorders>
              <w:top w:val="single" w:sz="8" w:space="0" w:color="152935"/>
              <w:left w:val="nil"/>
              <w:bottom w:val="single" w:sz="8" w:space="0" w:color="152935"/>
              <w:right w:val="nil"/>
            </w:tcBorders>
            <w:shd w:val="clear" w:color="auto" w:fill="E0E0E0"/>
          </w:tcPr>
          <w:p w:rsidR="00CA29AC" w:rsidRPr="002E439F" w:rsidRDefault="00CA29AC"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1</w:t>
            </w:r>
          </w:p>
        </w:tc>
        <w:tc>
          <w:tcPr>
            <w:tcW w:w="1102" w:type="dxa"/>
            <w:tcBorders>
              <w:top w:val="single" w:sz="8" w:space="0" w:color="152935"/>
              <w:left w:val="nil"/>
              <w:bottom w:val="single" w:sz="8" w:space="0" w:color="AEAEAE"/>
              <w:right w:val="nil"/>
            </w:tcBorders>
            <w:shd w:val="clear" w:color="auto" w:fill="E0E0E0"/>
          </w:tcPr>
          <w:p w:rsidR="00CA29AC" w:rsidRPr="002E439F" w:rsidRDefault="00CA29AC"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(Constant)</w:t>
            </w:r>
          </w:p>
        </w:tc>
        <w:tc>
          <w:tcPr>
            <w:tcW w:w="1245" w:type="dxa"/>
            <w:tcBorders>
              <w:top w:val="single" w:sz="8" w:space="0" w:color="152935"/>
              <w:left w:val="nil"/>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1.006</w:t>
            </w:r>
          </w:p>
        </w:tc>
        <w:tc>
          <w:tcPr>
            <w:tcW w:w="1245" w:type="dxa"/>
            <w:tcBorders>
              <w:top w:val="single" w:sz="8" w:space="0" w:color="152935"/>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3.019</w:t>
            </w:r>
          </w:p>
        </w:tc>
        <w:tc>
          <w:tcPr>
            <w:tcW w:w="1373"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CA29AC" w:rsidRPr="002E439F" w:rsidRDefault="00CA29AC" w:rsidP="000F622F">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8" w:space="0" w:color="152935"/>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.333</w:t>
            </w:r>
          </w:p>
        </w:tc>
        <w:tc>
          <w:tcPr>
            <w:tcW w:w="958" w:type="dxa"/>
            <w:tcBorders>
              <w:top w:val="single" w:sz="8" w:space="0" w:color="152935"/>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.761</w:t>
            </w:r>
          </w:p>
        </w:tc>
        <w:tc>
          <w:tcPr>
            <w:tcW w:w="1058"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CA29AC" w:rsidRPr="002E439F" w:rsidRDefault="00CA29AC" w:rsidP="000F622F">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8" w:space="0" w:color="152935"/>
              <w:left w:val="single" w:sz="8" w:space="0" w:color="E0E0E0"/>
              <w:bottom w:val="single" w:sz="8" w:space="0" w:color="AEAEAE"/>
              <w:right w:val="nil"/>
            </w:tcBorders>
            <w:shd w:val="clear" w:color="auto" w:fill="FFFFFF"/>
            <w:vAlign w:val="center"/>
          </w:tcPr>
          <w:p w:rsidR="00CA29AC" w:rsidRPr="002E439F" w:rsidRDefault="00CA29AC" w:rsidP="000F622F">
            <w:pPr>
              <w:autoSpaceDE w:val="0"/>
              <w:autoSpaceDN w:val="0"/>
              <w:adjustRightInd w:val="0"/>
              <w:spacing w:after="0" w:line="240" w:lineRule="auto"/>
              <w:rPr>
                <w:rFonts w:ascii="Times New Roman" w:hAnsi="Times New Roman" w:cs="Times New Roman"/>
                <w:sz w:val="24"/>
                <w:szCs w:val="24"/>
              </w:rPr>
            </w:pPr>
          </w:p>
        </w:tc>
      </w:tr>
      <w:tr w:rsidR="00CA29AC" w:rsidRPr="002E439F" w:rsidTr="000F622F">
        <w:trPr>
          <w:cantSplit/>
          <w:trHeight w:val="135"/>
        </w:trPr>
        <w:tc>
          <w:tcPr>
            <w:tcW w:w="687" w:type="dxa"/>
            <w:vMerge/>
            <w:tcBorders>
              <w:top w:val="single" w:sz="8" w:space="0" w:color="152935"/>
              <w:left w:val="nil"/>
              <w:bottom w:val="single" w:sz="8" w:space="0" w:color="152935"/>
              <w:right w:val="nil"/>
            </w:tcBorders>
            <w:shd w:val="clear" w:color="auto" w:fill="E0E0E0"/>
          </w:tcPr>
          <w:p w:rsidR="00CA29AC" w:rsidRPr="002E439F" w:rsidRDefault="00CA29AC" w:rsidP="000F622F">
            <w:pPr>
              <w:autoSpaceDE w:val="0"/>
              <w:autoSpaceDN w:val="0"/>
              <w:adjustRightInd w:val="0"/>
              <w:spacing w:after="0" w:line="240" w:lineRule="auto"/>
              <w:rPr>
                <w:rFonts w:ascii="Times New Roman" w:hAnsi="Times New Roman" w:cs="Times New Roman"/>
                <w:sz w:val="24"/>
                <w:szCs w:val="24"/>
              </w:rPr>
            </w:pPr>
          </w:p>
        </w:tc>
        <w:tc>
          <w:tcPr>
            <w:tcW w:w="1102" w:type="dxa"/>
            <w:tcBorders>
              <w:top w:val="single" w:sz="8" w:space="0" w:color="AEAEAE"/>
              <w:left w:val="nil"/>
              <w:bottom w:val="single" w:sz="8" w:space="0" w:color="AEAEAE"/>
              <w:right w:val="nil"/>
            </w:tcBorders>
            <w:shd w:val="clear" w:color="auto" w:fill="E0E0E0"/>
          </w:tcPr>
          <w:p w:rsidR="00CA29AC" w:rsidRPr="002E439F" w:rsidRDefault="00CA29AC" w:rsidP="000F622F">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KPR</w:t>
            </w:r>
          </w:p>
        </w:tc>
        <w:tc>
          <w:tcPr>
            <w:tcW w:w="1245" w:type="dxa"/>
            <w:tcBorders>
              <w:top w:val="single" w:sz="8" w:space="0" w:color="AEAEAE"/>
              <w:left w:val="nil"/>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-.191</w:t>
            </w:r>
          </w:p>
        </w:tc>
        <w:tc>
          <w:tcPr>
            <w:tcW w:w="1245" w:type="dxa"/>
            <w:tcBorders>
              <w:top w:val="single" w:sz="8" w:space="0" w:color="AEAEAE"/>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.485</w:t>
            </w:r>
          </w:p>
        </w:tc>
        <w:tc>
          <w:tcPr>
            <w:tcW w:w="1373" w:type="dxa"/>
            <w:tcBorders>
              <w:top w:val="single" w:sz="8" w:space="0" w:color="AEAEAE"/>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-.236</w:t>
            </w:r>
          </w:p>
        </w:tc>
        <w:tc>
          <w:tcPr>
            <w:tcW w:w="958" w:type="dxa"/>
            <w:tcBorders>
              <w:top w:val="single" w:sz="8" w:space="0" w:color="AEAEAE"/>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-.394</w:t>
            </w:r>
          </w:p>
        </w:tc>
        <w:tc>
          <w:tcPr>
            <w:tcW w:w="958" w:type="dxa"/>
            <w:tcBorders>
              <w:top w:val="single" w:sz="8" w:space="0" w:color="AEAEAE"/>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.720</w:t>
            </w:r>
          </w:p>
        </w:tc>
        <w:tc>
          <w:tcPr>
            <w:tcW w:w="1058" w:type="dxa"/>
            <w:tcBorders>
              <w:top w:val="single" w:sz="8" w:space="0" w:color="AEAEAE"/>
              <w:left w:val="single" w:sz="8" w:space="0" w:color="E0E0E0"/>
              <w:bottom w:val="single" w:sz="8" w:space="0" w:color="AEAEAE"/>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.416</w:t>
            </w:r>
          </w:p>
        </w:tc>
        <w:tc>
          <w:tcPr>
            <w:tcW w:w="958" w:type="dxa"/>
            <w:tcBorders>
              <w:top w:val="single" w:sz="8" w:space="0" w:color="AEAEAE"/>
              <w:left w:val="single" w:sz="8" w:space="0" w:color="E0E0E0"/>
              <w:bottom w:val="single" w:sz="8" w:space="0" w:color="AEAEAE"/>
              <w:right w:val="nil"/>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2.401</w:t>
            </w:r>
          </w:p>
        </w:tc>
      </w:tr>
      <w:tr w:rsidR="00CA29AC" w:rsidRPr="002E439F" w:rsidTr="000F622F">
        <w:trPr>
          <w:cantSplit/>
          <w:trHeight w:val="135"/>
        </w:trPr>
        <w:tc>
          <w:tcPr>
            <w:tcW w:w="687" w:type="dxa"/>
            <w:vMerge/>
            <w:tcBorders>
              <w:top w:val="single" w:sz="8" w:space="0" w:color="152935"/>
              <w:left w:val="nil"/>
              <w:bottom w:val="single" w:sz="8" w:space="0" w:color="152935"/>
              <w:right w:val="nil"/>
            </w:tcBorders>
            <w:shd w:val="clear" w:color="auto" w:fill="E0E0E0"/>
          </w:tcPr>
          <w:p w:rsidR="00CA29AC" w:rsidRPr="002E439F" w:rsidRDefault="00CA29AC" w:rsidP="000F622F">
            <w:pPr>
              <w:autoSpaceDE w:val="0"/>
              <w:autoSpaceDN w:val="0"/>
              <w:adjustRightInd w:val="0"/>
              <w:spacing w:after="0" w:line="240" w:lineRule="auto"/>
              <w:rPr>
                <w:rFonts w:ascii="Arial" w:hAnsi="Arial" w:cs="Arial"/>
                <w:color w:val="010205"/>
                <w:sz w:val="18"/>
                <w:szCs w:val="18"/>
              </w:rPr>
            </w:pPr>
          </w:p>
        </w:tc>
        <w:tc>
          <w:tcPr>
            <w:tcW w:w="1102" w:type="dxa"/>
            <w:tcBorders>
              <w:top w:val="single" w:sz="8" w:space="0" w:color="AEAEAE"/>
              <w:left w:val="nil"/>
              <w:bottom w:val="single" w:sz="8" w:space="0" w:color="152935"/>
              <w:right w:val="nil"/>
            </w:tcBorders>
            <w:shd w:val="clear" w:color="auto" w:fill="E0E0E0"/>
          </w:tcPr>
          <w:p w:rsidR="00CA29AC" w:rsidRPr="002E439F" w:rsidRDefault="00CA29AC" w:rsidP="000F622F">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NPF</w:t>
            </w:r>
          </w:p>
        </w:tc>
        <w:tc>
          <w:tcPr>
            <w:tcW w:w="1245" w:type="dxa"/>
            <w:tcBorders>
              <w:top w:val="single" w:sz="8" w:space="0" w:color="AEAEAE"/>
              <w:left w:val="nil"/>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-.174</w:t>
            </w:r>
          </w:p>
        </w:tc>
        <w:tc>
          <w:tcPr>
            <w:tcW w:w="1245" w:type="dxa"/>
            <w:tcBorders>
              <w:top w:val="single" w:sz="8" w:space="0" w:color="AEAEAE"/>
              <w:left w:val="single" w:sz="8" w:space="0" w:color="E0E0E0"/>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.190</w:t>
            </w:r>
          </w:p>
        </w:tc>
        <w:tc>
          <w:tcPr>
            <w:tcW w:w="1373" w:type="dxa"/>
            <w:tcBorders>
              <w:top w:val="single" w:sz="8" w:space="0" w:color="AEAEAE"/>
              <w:left w:val="single" w:sz="8" w:space="0" w:color="E0E0E0"/>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-.548</w:t>
            </w:r>
          </w:p>
        </w:tc>
        <w:tc>
          <w:tcPr>
            <w:tcW w:w="958" w:type="dxa"/>
            <w:tcBorders>
              <w:top w:val="single" w:sz="8" w:space="0" w:color="AEAEAE"/>
              <w:left w:val="single" w:sz="8" w:space="0" w:color="E0E0E0"/>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-.916</w:t>
            </w:r>
          </w:p>
        </w:tc>
        <w:tc>
          <w:tcPr>
            <w:tcW w:w="958" w:type="dxa"/>
            <w:tcBorders>
              <w:top w:val="single" w:sz="8" w:space="0" w:color="AEAEAE"/>
              <w:left w:val="single" w:sz="8" w:space="0" w:color="E0E0E0"/>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.427</w:t>
            </w:r>
          </w:p>
        </w:tc>
        <w:tc>
          <w:tcPr>
            <w:tcW w:w="1058" w:type="dxa"/>
            <w:tcBorders>
              <w:top w:val="single" w:sz="8" w:space="0" w:color="AEAEAE"/>
              <w:left w:val="single" w:sz="8" w:space="0" w:color="E0E0E0"/>
              <w:bottom w:val="single" w:sz="8" w:space="0" w:color="152935"/>
              <w:right w:val="single" w:sz="8" w:space="0" w:color="E0E0E0"/>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.416</w:t>
            </w:r>
          </w:p>
        </w:tc>
        <w:tc>
          <w:tcPr>
            <w:tcW w:w="958" w:type="dxa"/>
            <w:tcBorders>
              <w:top w:val="single" w:sz="8" w:space="0" w:color="AEAEAE"/>
              <w:left w:val="single" w:sz="8" w:space="0" w:color="E0E0E0"/>
              <w:bottom w:val="single" w:sz="8" w:space="0" w:color="152935"/>
              <w:right w:val="nil"/>
            </w:tcBorders>
            <w:shd w:val="clear" w:color="auto" w:fill="FFFFFF"/>
          </w:tcPr>
          <w:p w:rsidR="00CA29AC" w:rsidRPr="002E439F" w:rsidRDefault="00CA29AC"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2.401</w:t>
            </w:r>
          </w:p>
        </w:tc>
      </w:tr>
      <w:tr w:rsidR="00CA29AC" w:rsidRPr="002E439F" w:rsidTr="000F622F">
        <w:trPr>
          <w:cantSplit/>
          <w:trHeight w:val="102"/>
        </w:trPr>
        <w:tc>
          <w:tcPr>
            <w:tcW w:w="9584" w:type="dxa"/>
            <w:gridSpan w:val="9"/>
            <w:tcBorders>
              <w:top w:val="nil"/>
              <w:left w:val="nil"/>
              <w:bottom w:val="nil"/>
              <w:right w:val="nil"/>
            </w:tcBorders>
            <w:shd w:val="clear" w:color="auto" w:fill="FFFFFF"/>
          </w:tcPr>
          <w:p w:rsidR="00CA29AC" w:rsidRPr="002E439F" w:rsidRDefault="00CA29AC" w:rsidP="000F622F">
            <w:pPr>
              <w:autoSpaceDE w:val="0"/>
              <w:autoSpaceDN w:val="0"/>
              <w:adjustRightInd w:val="0"/>
              <w:spacing w:after="0" w:line="320" w:lineRule="atLeast"/>
              <w:ind w:left="60" w:right="60"/>
              <w:rPr>
                <w:rFonts w:ascii="Arial" w:hAnsi="Arial" w:cs="Arial"/>
                <w:color w:val="010205"/>
                <w:sz w:val="18"/>
                <w:szCs w:val="18"/>
              </w:rPr>
            </w:pPr>
            <w:r>
              <w:rPr>
                <w:rFonts w:ascii="Arial" w:hAnsi="Arial" w:cs="Arial"/>
                <w:color w:val="010205"/>
                <w:sz w:val="18"/>
                <w:szCs w:val="18"/>
              </w:rPr>
              <w:t>a. Dependent Variable: ROA</w:t>
            </w:r>
          </w:p>
        </w:tc>
      </w:tr>
    </w:tbl>
    <w:p w:rsidR="00CA29AC" w:rsidRDefault="006B179F" w:rsidP="00CA29A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SPSS 25, data sekunder,2018</w:t>
      </w:r>
    </w:p>
    <w:p w:rsidR="006B179F" w:rsidRDefault="006B179F" w:rsidP="006B179F">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Melalui hasil pengolahan data seperti disajikan pada tabel 4.7 maka dapat dibentuk model prediksi variabel independen terhadap variabel dependen sebagai berikut:</w:t>
      </w:r>
    </w:p>
    <w:p w:rsidR="006B179F" w:rsidRDefault="00AF0743" w:rsidP="006B179F">
      <w:pPr>
        <w:spacing w:after="0" w:line="480" w:lineRule="auto"/>
        <w:jc w:val="center"/>
        <w:rPr>
          <w:rFonts w:ascii="Times New Roman" w:hAnsi="Times New Roman" w:cs="Times New Roman"/>
          <w:sz w:val="24"/>
          <w:szCs w:val="24"/>
          <w:vertAlign w:val="subscript"/>
        </w:rPr>
      </w:pPr>
      <w:r>
        <w:rPr>
          <w:rFonts w:ascii="Times New Roman" w:hAnsi="Times New Roman" w:cs="Times New Roman"/>
          <w:sz w:val="24"/>
          <w:szCs w:val="24"/>
        </w:rPr>
        <w:t>ROA = 1,006 + (-0,</w:t>
      </w:r>
      <w:r w:rsidR="006B179F">
        <w:rPr>
          <w:rFonts w:ascii="Times New Roman" w:hAnsi="Times New Roman" w:cs="Times New Roman"/>
          <w:sz w:val="24"/>
          <w:szCs w:val="24"/>
        </w:rPr>
        <w:t>191X</w:t>
      </w:r>
      <w:r w:rsidR="006B179F">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006B179F">
        <w:rPr>
          <w:rFonts w:ascii="Times New Roman" w:hAnsi="Times New Roman" w:cs="Times New Roman"/>
          <w:sz w:val="24"/>
          <w:szCs w:val="24"/>
        </w:rPr>
        <w:t>-0,174X</w:t>
      </w:r>
      <w:r w:rsidR="006B179F">
        <w:rPr>
          <w:rFonts w:ascii="Times New Roman" w:hAnsi="Times New Roman" w:cs="Times New Roman"/>
          <w:sz w:val="24"/>
          <w:szCs w:val="24"/>
          <w:vertAlign w:val="subscript"/>
        </w:rPr>
        <w:t>2</w:t>
      </w:r>
    </w:p>
    <w:p w:rsidR="006B179F" w:rsidRDefault="006B179F" w:rsidP="006B17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Dari </w:t>
      </w:r>
      <w:r w:rsidR="00143B4F">
        <w:rPr>
          <w:rFonts w:ascii="Times New Roman" w:hAnsi="Times New Roman" w:cs="Times New Roman"/>
          <w:sz w:val="24"/>
          <w:szCs w:val="24"/>
        </w:rPr>
        <w:t>persamaan diatas dap</w:t>
      </w:r>
      <w:r>
        <w:rPr>
          <w:rFonts w:ascii="Times New Roman" w:hAnsi="Times New Roman" w:cs="Times New Roman"/>
          <w:sz w:val="24"/>
          <w:szCs w:val="24"/>
        </w:rPr>
        <w:t>at diuraikan sebagai berikut:</w:t>
      </w:r>
    </w:p>
    <w:p w:rsidR="006B179F" w:rsidRPr="00143B4F" w:rsidRDefault="006B179F" w:rsidP="006B179F">
      <w:pPr>
        <w:pStyle w:val="ListParagraph"/>
        <w:numPr>
          <w:ilvl w:val="0"/>
          <w:numId w:val="7"/>
        </w:numPr>
        <w:spacing w:after="0" w:line="480" w:lineRule="auto"/>
        <w:jc w:val="both"/>
        <w:rPr>
          <w:i/>
          <w:sz w:val="24"/>
          <w:szCs w:val="24"/>
        </w:rPr>
      </w:pPr>
      <w:r>
        <w:rPr>
          <w:sz w:val="24"/>
          <w:szCs w:val="24"/>
        </w:rPr>
        <w:t xml:space="preserve">Nilai konstanta (a) sebesar 1,006. Artinya </w:t>
      </w:r>
      <w:r w:rsidR="00143B4F">
        <w:rPr>
          <w:sz w:val="24"/>
          <w:szCs w:val="24"/>
        </w:rPr>
        <w:t>jika P</w:t>
      </w:r>
      <w:r>
        <w:rPr>
          <w:sz w:val="24"/>
          <w:szCs w:val="24"/>
        </w:rPr>
        <w:t xml:space="preserve">embiayaan Kepemilikan Rumah (KPR) </w:t>
      </w:r>
      <w:r w:rsidRPr="006B179F">
        <w:rPr>
          <w:i/>
          <w:sz w:val="24"/>
          <w:szCs w:val="24"/>
        </w:rPr>
        <w:t>Murabahah</w:t>
      </w:r>
      <w:r>
        <w:rPr>
          <w:i/>
          <w:sz w:val="24"/>
          <w:szCs w:val="24"/>
        </w:rPr>
        <w:t xml:space="preserve"> </w:t>
      </w:r>
      <w:r w:rsidR="00143B4F">
        <w:rPr>
          <w:sz w:val="24"/>
          <w:szCs w:val="24"/>
        </w:rPr>
        <w:t>(X</w:t>
      </w:r>
      <w:r w:rsidR="00143B4F">
        <w:rPr>
          <w:sz w:val="24"/>
          <w:szCs w:val="24"/>
          <w:vertAlign w:val="subscript"/>
        </w:rPr>
        <w:t>1</w:t>
      </w:r>
      <w:r w:rsidR="00143B4F">
        <w:rPr>
          <w:sz w:val="24"/>
          <w:szCs w:val="24"/>
        </w:rPr>
        <w:t>) dan NPF (X</w:t>
      </w:r>
      <w:r w:rsidR="00143B4F">
        <w:rPr>
          <w:sz w:val="24"/>
          <w:szCs w:val="24"/>
          <w:vertAlign w:val="subscript"/>
        </w:rPr>
        <w:t>2</w:t>
      </w:r>
      <w:r w:rsidR="00143B4F">
        <w:rPr>
          <w:sz w:val="24"/>
          <w:szCs w:val="24"/>
        </w:rPr>
        <w:t>) sama dengan nol, maka ROA (Y) akan bernilai 1,006.</w:t>
      </w:r>
    </w:p>
    <w:p w:rsidR="00143B4F" w:rsidRPr="00143B4F" w:rsidRDefault="00143B4F" w:rsidP="006B179F">
      <w:pPr>
        <w:pStyle w:val="ListParagraph"/>
        <w:numPr>
          <w:ilvl w:val="0"/>
          <w:numId w:val="7"/>
        </w:numPr>
        <w:spacing w:after="0" w:line="480" w:lineRule="auto"/>
        <w:jc w:val="both"/>
        <w:rPr>
          <w:i/>
          <w:sz w:val="24"/>
          <w:szCs w:val="24"/>
        </w:rPr>
      </w:pPr>
      <w:r>
        <w:rPr>
          <w:sz w:val="24"/>
          <w:szCs w:val="24"/>
        </w:rPr>
        <w:lastRenderedPageBreak/>
        <w:t xml:space="preserve">Nilai Pembiayaan Kepemilikan Rumah (KPR) </w:t>
      </w:r>
      <w:r w:rsidRPr="00143B4F">
        <w:rPr>
          <w:i/>
          <w:sz w:val="24"/>
          <w:szCs w:val="24"/>
        </w:rPr>
        <w:t>Murabahah</w:t>
      </w:r>
      <w:r>
        <w:rPr>
          <w:i/>
          <w:sz w:val="24"/>
          <w:szCs w:val="24"/>
        </w:rPr>
        <w:t xml:space="preserve"> </w:t>
      </w:r>
      <w:r>
        <w:rPr>
          <w:sz w:val="24"/>
          <w:szCs w:val="24"/>
        </w:rPr>
        <w:t>(X</w:t>
      </w:r>
      <w:r>
        <w:rPr>
          <w:sz w:val="24"/>
          <w:szCs w:val="24"/>
          <w:vertAlign w:val="subscript"/>
        </w:rPr>
        <w:t>1</w:t>
      </w:r>
      <w:r>
        <w:rPr>
          <w:sz w:val="24"/>
          <w:szCs w:val="24"/>
        </w:rPr>
        <w:t>) mem</w:t>
      </w:r>
      <w:r w:rsidR="00AF0743">
        <w:rPr>
          <w:sz w:val="24"/>
          <w:szCs w:val="24"/>
        </w:rPr>
        <w:t>iliki koefisien sebesar -0,</w:t>
      </w:r>
      <w:r>
        <w:rPr>
          <w:sz w:val="24"/>
          <w:szCs w:val="24"/>
        </w:rPr>
        <w:t xml:space="preserve">191 artinya apabila nilai variabel lainnya tetap (tidak berubah) atau sama dengan nol, maka penurunan variabel Pembiayaan Kepemilikan Rumah (KPR) </w:t>
      </w:r>
      <w:r w:rsidRPr="00143B4F">
        <w:rPr>
          <w:i/>
          <w:sz w:val="24"/>
          <w:szCs w:val="24"/>
        </w:rPr>
        <w:t>Murabahah</w:t>
      </w:r>
      <w:r>
        <w:rPr>
          <w:i/>
          <w:sz w:val="24"/>
          <w:szCs w:val="24"/>
        </w:rPr>
        <w:t xml:space="preserve"> </w:t>
      </w:r>
      <w:r>
        <w:rPr>
          <w:sz w:val="24"/>
          <w:szCs w:val="24"/>
        </w:rPr>
        <w:t>(X</w:t>
      </w:r>
      <w:r>
        <w:rPr>
          <w:sz w:val="24"/>
          <w:szCs w:val="24"/>
          <w:vertAlign w:val="subscript"/>
        </w:rPr>
        <w:t>1</w:t>
      </w:r>
      <w:r>
        <w:rPr>
          <w:sz w:val="24"/>
          <w:szCs w:val="24"/>
        </w:rPr>
        <w:t>) sebesar satu satuan akan men</w:t>
      </w:r>
      <w:r w:rsidR="00AF0743">
        <w:rPr>
          <w:sz w:val="24"/>
          <w:szCs w:val="24"/>
        </w:rPr>
        <w:t>gurangi ROA (Y) sebesar -0,</w:t>
      </w:r>
      <w:r>
        <w:rPr>
          <w:sz w:val="24"/>
          <w:szCs w:val="24"/>
        </w:rPr>
        <w:t>191.</w:t>
      </w:r>
    </w:p>
    <w:p w:rsidR="00143B4F" w:rsidRPr="001B2866" w:rsidRDefault="00143B4F" w:rsidP="006B179F">
      <w:pPr>
        <w:pStyle w:val="ListParagraph"/>
        <w:numPr>
          <w:ilvl w:val="0"/>
          <w:numId w:val="7"/>
        </w:numPr>
        <w:spacing w:after="0" w:line="480" w:lineRule="auto"/>
        <w:jc w:val="both"/>
        <w:rPr>
          <w:i/>
          <w:sz w:val="24"/>
          <w:szCs w:val="24"/>
        </w:rPr>
      </w:pPr>
      <w:r>
        <w:rPr>
          <w:sz w:val="24"/>
          <w:szCs w:val="24"/>
        </w:rPr>
        <w:t>Nilai koefisien regresi untuk variabel NPF (X</w:t>
      </w:r>
      <w:r>
        <w:rPr>
          <w:sz w:val="24"/>
          <w:szCs w:val="24"/>
          <w:vertAlign w:val="subscript"/>
        </w:rPr>
        <w:t>2</w:t>
      </w:r>
      <w:r>
        <w:rPr>
          <w:sz w:val="24"/>
          <w:szCs w:val="24"/>
        </w:rPr>
        <w:t xml:space="preserve">) bernilai -0,174, memiliki arti bahwa nilai tersebut negatif. Hal ini menunjukan </w:t>
      </w:r>
      <w:r w:rsidR="001B2866">
        <w:rPr>
          <w:sz w:val="24"/>
          <w:szCs w:val="24"/>
        </w:rPr>
        <w:t>tidak adanya hubungan yang searah antara NPF (X</w:t>
      </w:r>
      <w:r w:rsidR="001B2866">
        <w:rPr>
          <w:sz w:val="24"/>
          <w:szCs w:val="24"/>
          <w:vertAlign w:val="subscript"/>
        </w:rPr>
        <w:t>2</w:t>
      </w:r>
      <w:r w:rsidR="001B2866">
        <w:rPr>
          <w:sz w:val="24"/>
          <w:szCs w:val="24"/>
        </w:rPr>
        <w:t xml:space="preserve">) dengan ROA (Y). </w:t>
      </w:r>
    </w:p>
    <w:p w:rsidR="001B2866" w:rsidRDefault="001B2866" w:rsidP="001B2866">
      <w:pPr>
        <w:spacing w:after="0" w:line="480" w:lineRule="auto"/>
        <w:jc w:val="both"/>
        <w:rPr>
          <w:i/>
          <w:sz w:val="24"/>
          <w:szCs w:val="24"/>
        </w:rPr>
      </w:pPr>
    </w:p>
    <w:p w:rsidR="001B2866" w:rsidRPr="001B2866" w:rsidRDefault="001B2866" w:rsidP="001B2866">
      <w:pPr>
        <w:spacing w:after="0" w:line="480" w:lineRule="auto"/>
        <w:jc w:val="both"/>
        <w:rPr>
          <w:rFonts w:ascii="Times New Roman" w:hAnsi="Times New Roman" w:cs="Times New Roman"/>
          <w:b/>
          <w:sz w:val="24"/>
          <w:szCs w:val="24"/>
        </w:rPr>
      </w:pPr>
      <w:r w:rsidRPr="001B2866">
        <w:rPr>
          <w:rFonts w:ascii="Times New Roman" w:hAnsi="Times New Roman" w:cs="Times New Roman"/>
          <w:b/>
          <w:sz w:val="24"/>
          <w:szCs w:val="24"/>
        </w:rPr>
        <w:t>4.2.3</w:t>
      </w:r>
      <w:r w:rsidRPr="001B2866">
        <w:rPr>
          <w:rFonts w:ascii="Times New Roman" w:hAnsi="Times New Roman" w:cs="Times New Roman"/>
          <w:b/>
          <w:sz w:val="24"/>
          <w:szCs w:val="24"/>
        </w:rPr>
        <w:tab/>
        <w:t>Analisis Koefisien Korelasi</w:t>
      </w:r>
    </w:p>
    <w:p w:rsidR="0013302C" w:rsidRDefault="009E2299" w:rsidP="0013302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Koefisien Korelasi merupakan analisis yang digunakan untuk mengetahui hubungan antar variabel bebas dengan variabel terikat secara bersama-sama dan untuk mengukur seberapa besar variasi perubahan variabel bebas mampu menjelaskan variasi perubahan variabel terikat.</w:t>
      </w:r>
    </w:p>
    <w:p w:rsidR="009E2299" w:rsidRPr="009E2299" w:rsidRDefault="009E2299" w:rsidP="009E2299">
      <w:pPr>
        <w:spacing w:after="0" w:line="480" w:lineRule="auto"/>
        <w:ind w:firstLine="720"/>
        <w:jc w:val="center"/>
        <w:rPr>
          <w:rFonts w:ascii="Times New Roman" w:hAnsi="Times New Roman" w:cs="Times New Roman"/>
          <w:b/>
          <w:sz w:val="24"/>
          <w:szCs w:val="24"/>
        </w:rPr>
      </w:pPr>
      <w:r w:rsidRPr="009E2299">
        <w:rPr>
          <w:rFonts w:ascii="Times New Roman" w:hAnsi="Times New Roman" w:cs="Times New Roman"/>
          <w:b/>
          <w:sz w:val="24"/>
          <w:szCs w:val="24"/>
        </w:rPr>
        <w:t>Tabel 4.8</w:t>
      </w:r>
    </w:p>
    <w:p w:rsidR="009E2299" w:rsidRDefault="009E2299" w:rsidP="009E2299">
      <w:pPr>
        <w:spacing w:after="0" w:line="480" w:lineRule="auto"/>
        <w:ind w:firstLine="720"/>
        <w:jc w:val="center"/>
        <w:rPr>
          <w:rFonts w:ascii="Times New Roman" w:hAnsi="Times New Roman" w:cs="Times New Roman"/>
          <w:b/>
          <w:sz w:val="24"/>
          <w:szCs w:val="24"/>
        </w:rPr>
      </w:pPr>
      <w:r w:rsidRPr="009E2299">
        <w:rPr>
          <w:rFonts w:ascii="Times New Roman" w:hAnsi="Times New Roman" w:cs="Times New Roman"/>
          <w:b/>
          <w:sz w:val="24"/>
          <w:szCs w:val="24"/>
        </w:rPr>
        <w:t>Analisis Koefisien Korelasi</w:t>
      </w:r>
    </w:p>
    <w:tbl>
      <w:tblPr>
        <w:tblW w:w="5843" w:type="dxa"/>
        <w:tblInd w:w="13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9E2299" w:rsidRPr="002E439F" w:rsidTr="009E2299">
        <w:trPr>
          <w:cantSplit/>
        </w:trPr>
        <w:tc>
          <w:tcPr>
            <w:tcW w:w="5843" w:type="dxa"/>
            <w:gridSpan w:val="5"/>
            <w:tcBorders>
              <w:top w:val="nil"/>
              <w:left w:val="nil"/>
              <w:bottom w:val="nil"/>
              <w:right w:val="nil"/>
            </w:tcBorders>
            <w:shd w:val="clear" w:color="auto" w:fill="FFFFFF"/>
            <w:vAlign w:val="center"/>
          </w:tcPr>
          <w:p w:rsidR="009E2299" w:rsidRPr="002E439F" w:rsidRDefault="009E2299" w:rsidP="000F622F">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Model Summary</w:t>
            </w:r>
            <w:r w:rsidRPr="002E439F">
              <w:rPr>
                <w:rFonts w:ascii="Arial" w:hAnsi="Arial" w:cs="Arial"/>
                <w:b/>
                <w:bCs/>
                <w:color w:val="010205"/>
                <w:vertAlign w:val="superscript"/>
              </w:rPr>
              <w:t>b</w:t>
            </w:r>
          </w:p>
        </w:tc>
      </w:tr>
      <w:tr w:rsidR="009E2299" w:rsidRPr="002E439F" w:rsidTr="009E2299">
        <w:trPr>
          <w:cantSplit/>
        </w:trPr>
        <w:tc>
          <w:tcPr>
            <w:tcW w:w="795" w:type="dxa"/>
            <w:tcBorders>
              <w:top w:val="nil"/>
              <w:left w:val="nil"/>
              <w:bottom w:val="single" w:sz="8" w:space="0" w:color="152935"/>
              <w:right w:val="nil"/>
            </w:tcBorders>
            <w:shd w:val="clear" w:color="auto" w:fill="FFFFFF"/>
            <w:vAlign w:val="bottom"/>
          </w:tcPr>
          <w:p w:rsidR="009E2299" w:rsidRPr="002E439F" w:rsidRDefault="009E2299"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Model</w:t>
            </w:r>
          </w:p>
        </w:tc>
        <w:tc>
          <w:tcPr>
            <w:tcW w:w="1024" w:type="dxa"/>
            <w:tcBorders>
              <w:top w:val="nil"/>
              <w:left w:val="nil"/>
              <w:bottom w:val="single" w:sz="8" w:space="0" w:color="152935"/>
              <w:right w:val="single" w:sz="8" w:space="0" w:color="E0E0E0"/>
            </w:tcBorders>
            <w:shd w:val="clear" w:color="auto" w:fill="FFFFFF"/>
            <w:vAlign w:val="bottom"/>
          </w:tcPr>
          <w:p w:rsidR="009E2299" w:rsidRPr="002E439F" w:rsidRDefault="009E2299"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9E2299" w:rsidRPr="002E439F" w:rsidRDefault="009E2299"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9E2299" w:rsidRPr="002E439F" w:rsidRDefault="009E2299"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Adjusted R Square</w:t>
            </w:r>
          </w:p>
        </w:tc>
        <w:tc>
          <w:tcPr>
            <w:tcW w:w="1469" w:type="dxa"/>
            <w:tcBorders>
              <w:top w:val="nil"/>
              <w:left w:val="single" w:sz="8" w:space="0" w:color="E0E0E0"/>
              <w:bottom w:val="single" w:sz="8" w:space="0" w:color="152935"/>
              <w:right w:val="nil"/>
            </w:tcBorders>
            <w:shd w:val="clear" w:color="auto" w:fill="FFFFFF"/>
            <w:vAlign w:val="bottom"/>
          </w:tcPr>
          <w:p w:rsidR="009E2299" w:rsidRPr="002E439F" w:rsidRDefault="009E2299"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Std. Error of the Estimate</w:t>
            </w:r>
          </w:p>
        </w:tc>
      </w:tr>
      <w:tr w:rsidR="009E2299" w:rsidRPr="002E439F" w:rsidTr="009E2299">
        <w:trPr>
          <w:cantSplit/>
        </w:trPr>
        <w:tc>
          <w:tcPr>
            <w:tcW w:w="795" w:type="dxa"/>
            <w:tcBorders>
              <w:top w:val="single" w:sz="8" w:space="0" w:color="152935"/>
              <w:left w:val="nil"/>
              <w:bottom w:val="single" w:sz="8" w:space="0" w:color="152935"/>
              <w:right w:val="nil"/>
            </w:tcBorders>
            <w:shd w:val="clear" w:color="auto" w:fill="E0E0E0"/>
          </w:tcPr>
          <w:p w:rsidR="009E2299" w:rsidRPr="002E439F" w:rsidRDefault="009E2299"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1</w:t>
            </w:r>
          </w:p>
        </w:tc>
        <w:tc>
          <w:tcPr>
            <w:tcW w:w="1024" w:type="dxa"/>
            <w:tcBorders>
              <w:top w:val="single" w:sz="8" w:space="0" w:color="152935"/>
              <w:left w:val="nil"/>
              <w:bottom w:val="single" w:sz="8" w:space="0" w:color="152935"/>
              <w:right w:val="single" w:sz="8" w:space="0" w:color="E0E0E0"/>
            </w:tcBorders>
            <w:shd w:val="clear" w:color="auto" w:fill="FFFFFF"/>
          </w:tcPr>
          <w:p w:rsidR="009E2299" w:rsidRPr="002E439F" w:rsidRDefault="009E2299"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.744</w:t>
            </w:r>
            <w:r w:rsidRPr="002E439F">
              <w:rPr>
                <w:rFonts w:ascii="Arial" w:hAnsi="Arial" w:cs="Arial"/>
                <w:color w:val="010205"/>
                <w:sz w:val="18"/>
                <w:szCs w:val="18"/>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9E2299" w:rsidRPr="002E439F" w:rsidRDefault="009E2299"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.553</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9E2299" w:rsidRPr="002E439F" w:rsidRDefault="009E2299"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.255</w:t>
            </w:r>
          </w:p>
        </w:tc>
        <w:tc>
          <w:tcPr>
            <w:tcW w:w="1469" w:type="dxa"/>
            <w:tcBorders>
              <w:top w:val="single" w:sz="8" w:space="0" w:color="152935"/>
              <w:left w:val="single" w:sz="8" w:space="0" w:color="E0E0E0"/>
              <w:bottom w:val="single" w:sz="8" w:space="0" w:color="152935"/>
              <w:right w:val="nil"/>
            </w:tcBorders>
            <w:shd w:val="clear" w:color="auto" w:fill="FFFFFF"/>
          </w:tcPr>
          <w:p w:rsidR="009E2299" w:rsidRPr="002E439F" w:rsidRDefault="009E2299"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.20217</w:t>
            </w:r>
          </w:p>
        </w:tc>
      </w:tr>
      <w:tr w:rsidR="009E2299" w:rsidRPr="002E439F" w:rsidTr="009E2299">
        <w:trPr>
          <w:cantSplit/>
        </w:trPr>
        <w:tc>
          <w:tcPr>
            <w:tcW w:w="5843" w:type="dxa"/>
            <w:gridSpan w:val="5"/>
            <w:tcBorders>
              <w:top w:val="nil"/>
              <w:left w:val="nil"/>
              <w:bottom w:val="nil"/>
              <w:right w:val="nil"/>
            </w:tcBorders>
            <w:shd w:val="clear" w:color="auto" w:fill="FFFFFF"/>
          </w:tcPr>
          <w:p w:rsidR="009E2299" w:rsidRPr="002E439F" w:rsidRDefault="009E2299" w:rsidP="000F622F">
            <w:pPr>
              <w:autoSpaceDE w:val="0"/>
              <w:autoSpaceDN w:val="0"/>
              <w:adjustRightInd w:val="0"/>
              <w:spacing w:after="0" w:line="320" w:lineRule="atLeast"/>
              <w:ind w:left="60" w:right="60"/>
              <w:rPr>
                <w:rFonts w:ascii="Arial" w:hAnsi="Arial" w:cs="Arial"/>
                <w:color w:val="010205"/>
                <w:sz w:val="18"/>
                <w:szCs w:val="18"/>
              </w:rPr>
            </w:pPr>
            <w:r>
              <w:rPr>
                <w:rFonts w:ascii="Arial" w:hAnsi="Arial" w:cs="Arial"/>
                <w:color w:val="010205"/>
                <w:sz w:val="18"/>
                <w:szCs w:val="18"/>
              </w:rPr>
              <w:t>a. Predictors: (Constant), NPF, KPR</w:t>
            </w:r>
          </w:p>
        </w:tc>
      </w:tr>
      <w:tr w:rsidR="009E2299" w:rsidRPr="002E439F" w:rsidTr="009E2299">
        <w:trPr>
          <w:cantSplit/>
        </w:trPr>
        <w:tc>
          <w:tcPr>
            <w:tcW w:w="5843" w:type="dxa"/>
            <w:gridSpan w:val="5"/>
            <w:tcBorders>
              <w:top w:val="nil"/>
              <w:left w:val="nil"/>
              <w:bottom w:val="nil"/>
              <w:right w:val="nil"/>
            </w:tcBorders>
            <w:shd w:val="clear" w:color="auto" w:fill="FFFFFF"/>
          </w:tcPr>
          <w:p w:rsidR="009E2299" w:rsidRPr="002E439F" w:rsidRDefault="009E2299" w:rsidP="000F622F">
            <w:pPr>
              <w:autoSpaceDE w:val="0"/>
              <w:autoSpaceDN w:val="0"/>
              <w:adjustRightInd w:val="0"/>
              <w:spacing w:after="0" w:line="320" w:lineRule="atLeast"/>
              <w:ind w:left="60" w:right="60"/>
              <w:rPr>
                <w:rFonts w:ascii="Arial" w:hAnsi="Arial" w:cs="Arial"/>
                <w:color w:val="010205"/>
                <w:sz w:val="18"/>
                <w:szCs w:val="18"/>
              </w:rPr>
            </w:pPr>
            <w:r>
              <w:rPr>
                <w:rFonts w:ascii="Arial" w:hAnsi="Arial" w:cs="Arial"/>
                <w:color w:val="010205"/>
                <w:sz w:val="18"/>
                <w:szCs w:val="18"/>
              </w:rPr>
              <w:t>b. Dependent Variable: ROA</w:t>
            </w:r>
          </w:p>
        </w:tc>
      </w:tr>
    </w:tbl>
    <w:p w:rsidR="009E2299" w:rsidRPr="009E2299" w:rsidRDefault="009E2299" w:rsidP="009E2299">
      <w:pPr>
        <w:spacing w:after="0" w:line="480" w:lineRule="auto"/>
        <w:ind w:firstLine="720"/>
        <w:jc w:val="center"/>
        <w:rPr>
          <w:rFonts w:ascii="Times New Roman" w:hAnsi="Times New Roman" w:cs="Times New Roman"/>
          <w:b/>
          <w:sz w:val="24"/>
          <w:szCs w:val="24"/>
        </w:rPr>
      </w:pPr>
      <w:r w:rsidRPr="009E2299">
        <w:rPr>
          <w:rFonts w:ascii="Times New Roman" w:hAnsi="Times New Roman" w:cs="Times New Roman"/>
          <w:b/>
          <w:sz w:val="24"/>
          <w:szCs w:val="24"/>
        </w:rPr>
        <w:t>Sumber : SPSS 25, data sekunder,2018</w:t>
      </w:r>
    </w:p>
    <w:p w:rsidR="0013302C" w:rsidRDefault="009E2299" w:rsidP="009E229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tabel 4.8 diketahui bahwa nilai korelasi (R) sebesar 0,744. Hal ini menunjukan bahwa kriteria hubungan antara pembiayaan kepemilikan rumah (KPR) </w:t>
      </w:r>
      <w:r w:rsidRPr="009E2299">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dan NPF dengan ROA bernilai positif sebesar 74,4%. Maka untuk mengetahui kekuatan korelasi itu sendiri, angka tersebut diinterprestasikan ke dalam tabel:</w:t>
      </w:r>
    </w:p>
    <w:p w:rsidR="009E2299" w:rsidRPr="009E2299" w:rsidRDefault="009E2299" w:rsidP="009E2299">
      <w:pPr>
        <w:spacing w:after="0" w:line="480" w:lineRule="auto"/>
        <w:jc w:val="center"/>
        <w:rPr>
          <w:rFonts w:ascii="Times New Roman" w:hAnsi="Times New Roman" w:cs="Times New Roman"/>
          <w:b/>
          <w:sz w:val="24"/>
          <w:szCs w:val="24"/>
        </w:rPr>
      </w:pPr>
      <w:r w:rsidRPr="009E2299">
        <w:rPr>
          <w:rFonts w:ascii="Times New Roman" w:hAnsi="Times New Roman" w:cs="Times New Roman"/>
          <w:b/>
          <w:sz w:val="24"/>
          <w:szCs w:val="24"/>
        </w:rPr>
        <w:lastRenderedPageBreak/>
        <w:t xml:space="preserve">Tabel 4.9 </w:t>
      </w:r>
    </w:p>
    <w:p w:rsidR="009E2299" w:rsidRPr="008577B4" w:rsidRDefault="009E2299" w:rsidP="009E2299">
      <w:pPr>
        <w:spacing w:after="0" w:line="480" w:lineRule="auto"/>
        <w:jc w:val="center"/>
        <w:rPr>
          <w:rFonts w:ascii="Times New Roman" w:hAnsi="Times New Roman" w:cs="Times New Roman"/>
          <w:b/>
          <w:sz w:val="24"/>
          <w:szCs w:val="24"/>
        </w:rPr>
      </w:pPr>
      <w:r w:rsidRPr="009E2299">
        <w:rPr>
          <w:rFonts w:ascii="Times New Roman" w:hAnsi="Times New Roman" w:cs="Times New Roman"/>
          <w:b/>
          <w:sz w:val="24"/>
          <w:szCs w:val="24"/>
        </w:rPr>
        <w:t>Pedoman Interpres</w:t>
      </w:r>
      <w:bookmarkStart w:id="1" w:name="_Hlk492369608"/>
      <w:r>
        <w:rPr>
          <w:rFonts w:ascii="Times New Roman" w:hAnsi="Times New Roman" w:cs="Times New Roman"/>
          <w:b/>
          <w:sz w:val="24"/>
          <w:szCs w:val="24"/>
        </w:rPr>
        <w:t>tasi terhadap Koefisien Korelasi</w:t>
      </w:r>
    </w:p>
    <w:tbl>
      <w:tblPr>
        <w:tblStyle w:val="TableGrid"/>
        <w:tblpPr w:leftFromText="180" w:rightFromText="180" w:vertAnchor="text" w:horzAnchor="margin" w:tblpXSpec="center" w:tblpY="340"/>
        <w:tblW w:w="0" w:type="auto"/>
        <w:tblLook w:val="04A0" w:firstRow="1" w:lastRow="0" w:firstColumn="1" w:lastColumn="0" w:noHBand="0" w:noVBand="1"/>
      </w:tblPr>
      <w:tblGrid>
        <w:gridCol w:w="3346"/>
        <w:gridCol w:w="3476"/>
      </w:tblGrid>
      <w:tr w:rsidR="008577B4" w:rsidRPr="008577B4" w:rsidTr="008577B4">
        <w:trPr>
          <w:trHeight w:val="491"/>
        </w:trPr>
        <w:tc>
          <w:tcPr>
            <w:tcW w:w="334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b/>
                <w:sz w:val="24"/>
                <w:szCs w:val="24"/>
              </w:rPr>
            </w:pPr>
            <w:r w:rsidRPr="008577B4">
              <w:rPr>
                <w:rFonts w:ascii="Times New Roman" w:hAnsi="Times New Roman" w:cs="Times New Roman"/>
                <w:b/>
                <w:sz w:val="24"/>
                <w:szCs w:val="24"/>
              </w:rPr>
              <w:t>Interval Koefisien</w:t>
            </w:r>
          </w:p>
        </w:tc>
        <w:tc>
          <w:tcPr>
            <w:tcW w:w="347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b/>
                <w:sz w:val="24"/>
                <w:szCs w:val="24"/>
              </w:rPr>
              <w:t>Tingkat Hubungan</w:t>
            </w:r>
          </w:p>
        </w:tc>
      </w:tr>
      <w:tr w:rsidR="008577B4" w:rsidRPr="008577B4" w:rsidTr="008577B4">
        <w:trPr>
          <w:trHeight w:val="505"/>
        </w:trPr>
        <w:tc>
          <w:tcPr>
            <w:tcW w:w="334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0,000-0,199</w:t>
            </w:r>
          </w:p>
        </w:tc>
        <w:tc>
          <w:tcPr>
            <w:tcW w:w="347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Sangat Rendah</w:t>
            </w:r>
          </w:p>
        </w:tc>
      </w:tr>
      <w:tr w:rsidR="008577B4" w:rsidRPr="008577B4" w:rsidTr="008577B4">
        <w:trPr>
          <w:trHeight w:val="491"/>
        </w:trPr>
        <w:tc>
          <w:tcPr>
            <w:tcW w:w="334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0,200-0,399</w:t>
            </w:r>
          </w:p>
        </w:tc>
        <w:tc>
          <w:tcPr>
            <w:tcW w:w="347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Rendah</w:t>
            </w:r>
          </w:p>
        </w:tc>
      </w:tr>
      <w:tr w:rsidR="008577B4" w:rsidRPr="008577B4" w:rsidTr="008577B4">
        <w:trPr>
          <w:trHeight w:val="505"/>
        </w:trPr>
        <w:tc>
          <w:tcPr>
            <w:tcW w:w="334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0,400-0,599</w:t>
            </w:r>
          </w:p>
        </w:tc>
        <w:tc>
          <w:tcPr>
            <w:tcW w:w="347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Sedang</w:t>
            </w:r>
          </w:p>
        </w:tc>
      </w:tr>
      <w:tr w:rsidR="008577B4" w:rsidRPr="008577B4" w:rsidTr="008577B4">
        <w:trPr>
          <w:trHeight w:val="491"/>
        </w:trPr>
        <w:tc>
          <w:tcPr>
            <w:tcW w:w="3346" w:type="dxa"/>
            <w:tcBorders>
              <w:top w:val="single" w:sz="4" w:space="0" w:color="auto"/>
              <w:left w:val="single" w:sz="4" w:space="0" w:color="auto"/>
              <w:bottom w:val="single" w:sz="4" w:space="0" w:color="auto"/>
              <w:right w:val="single" w:sz="4" w:space="0" w:color="auto"/>
            </w:tcBorders>
            <w:hideMark/>
          </w:tcPr>
          <w:p w:rsidR="008577B4" w:rsidRPr="009E2299" w:rsidRDefault="008577B4" w:rsidP="00084EEE">
            <w:pPr>
              <w:spacing w:after="0" w:line="480" w:lineRule="auto"/>
              <w:jc w:val="both"/>
              <w:rPr>
                <w:rFonts w:ascii="Times New Roman" w:hAnsi="Times New Roman" w:cs="Times New Roman"/>
                <w:b/>
                <w:sz w:val="24"/>
                <w:szCs w:val="24"/>
              </w:rPr>
            </w:pPr>
            <w:r w:rsidRPr="009E2299">
              <w:rPr>
                <w:rFonts w:ascii="Times New Roman" w:hAnsi="Times New Roman" w:cs="Times New Roman"/>
                <w:b/>
                <w:sz w:val="24"/>
                <w:szCs w:val="24"/>
              </w:rPr>
              <w:t>0,600-0,799</w:t>
            </w:r>
          </w:p>
        </w:tc>
        <w:tc>
          <w:tcPr>
            <w:tcW w:w="3476" w:type="dxa"/>
            <w:tcBorders>
              <w:top w:val="single" w:sz="4" w:space="0" w:color="auto"/>
              <w:left w:val="single" w:sz="4" w:space="0" w:color="auto"/>
              <w:bottom w:val="single" w:sz="4" w:space="0" w:color="auto"/>
              <w:right w:val="single" w:sz="4" w:space="0" w:color="auto"/>
            </w:tcBorders>
            <w:hideMark/>
          </w:tcPr>
          <w:p w:rsidR="008577B4" w:rsidRPr="009E2299" w:rsidRDefault="008577B4" w:rsidP="00084EEE">
            <w:pPr>
              <w:spacing w:after="0" w:line="480" w:lineRule="auto"/>
              <w:jc w:val="both"/>
              <w:rPr>
                <w:rFonts w:ascii="Times New Roman" w:hAnsi="Times New Roman" w:cs="Times New Roman"/>
                <w:b/>
                <w:sz w:val="24"/>
                <w:szCs w:val="24"/>
              </w:rPr>
            </w:pPr>
            <w:r w:rsidRPr="009E2299">
              <w:rPr>
                <w:rFonts w:ascii="Times New Roman" w:hAnsi="Times New Roman" w:cs="Times New Roman"/>
                <w:b/>
                <w:sz w:val="24"/>
                <w:szCs w:val="24"/>
              </w:rPr>
              <w:t>Kuat</w:t>
            </w:r>
          </w:p>
        </w:tc>
      </w:tr>
      <w:tr w:rsidR="008577B4" w:rsidRPr="008577B4" w:rsidTr="008577B4">
        <w:trPr>
          <w:trHeight w:val="491"/>
        </w:trPr>
        <w:tc>
          <w:tcPr>
            <w:tcW w:w="334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0,800-1,000</w:t>
            </w:r>
          </w:p>
        </w:tc>
        <w:tc>
          <w:tcPr>
            <w:tcW w:w="3476" w:type="dxa"/>
            <w:tcBorders>
              <w:top w:val="single" w:sz="4" w:space="0" w:color="auto"/>
              <w:left w:val="single" w:sz="4" w:space="0" w:color="auto"/>
              <w:bottom w:val="single" w:sz="4" w:space="0" w:color="auto"/>
              <w:right w:val="single" w:sz="4" w:space="0" w:color="auto"/>
            </w:tcBorders>
            <w:hideMark/>
          </w:tcPr>
          <w:p w:rsidR="008577B4" w:rsidRPr="008577B4" w:rsidRDefault="008577B4" w:rsidP="00084EEE">
            <w:pPr>
              <w:spacing w:after="0" w:line="480" w:lineRule="auto"/>
              <w:jc w:val="both"/>
              <w:rPr>
                <w:rFonts w:ascii="Times New Roman" w:hAnsi="Times New Roman" w:cs="Times New Roman"/>
                <w:sz w:val="24"/>
                <w:szCs w:val="24"/>
              </w:rPr>
            </w:pPr>
            <w:r w:rsidRPr="008577B4">
              <w:rPr>
                <w:rFonts w:ascii="Times New Roman" w:hAnsi="Times New Roman" w:cs="Times New Roman"/>
                <w:sz w:val="24"/>
                <w:szCs w:val="24"/>
              </w:rPr>
              <w:t>Sangat Kuat</w:t>
            </w:r>
          </w:p>
        </w:tc>
      </w:tr>
    </w:tbl>
    <w:p w:rsidR="004838C1" w:rsidRPr="008577B4" w:rsidRDefault="004838C1" w:rsidP="00A609FA">
      <w:pPr>
        <w:spacing w:after="0" w:line="480" w:lineRule="auto"/>
        <w:rPr>
          <w:rFonts w:ascii="Times New Roman" w:hAnsi="Times New Roman" w:cs="Times New Roman"/>
          <w:sz w:val="24"/>
          <w:szCs w:val="24"/>
        </w:rPr>
      </w:pPr>
    </w:p>
    <w:p w:rsidR="008577B4" w:rsidRPr="00311B4F" w:rsidRDefault="00311B4F" w:rsidP="00A609FA">
      <w:pPr>
        <w:spacing w:after="0" w:line="480" w:lineRule="auto"/>
        <w:ind w:left="720"/>
        <w:rPr>
          <w:rFonts w:ascii="Times New Roman" w:hAnsi="Times New Roman" w:cs="Times New Roman"/>
          <w:b/>
          <w:sz w:val="24"/>
          <w:szCs w:val="24"/>
          <w:lang w:val="en-US"/>
        </w:rPr>
      </w:pPr>
      <w:r>
        <w:rPr>
          <w:rFonts w:ascii="Times New Roman" w:hAnsi="Times New Roman" w:cs="Times New Roman"/>
          <w:b/>
          <w:sz w:val="24"/>
          <w:szCs w:val="24"/>
        </w:rPr>
        <w:t xml:space="preserve">Sumber : </w:t>
      </w:r>
      <w:r>
        <w:rPr>
          <w:rFonts w:ascii="Times New Roman" w:hAnsi="Times New Roman" w:cs="Times New Roman"/>
          <w:b/>
          <w:sz w:val="24"/>
          <w:szCs w:val="24"/>
          <w:lang w:val="en-US"/>
        </w:rPr>
        <w:t>Data telah diolah,2018</w:t>
      </w:r>
    </w:p>
    <w:p w:rsidR="0026210B" w:rsidRPr="006F1130" w:rsidRDefault="00A609FA" w:rsidP="0026210B">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Berdasarkan tabel 4.9 diatas dapat diketahui bahwa koefisien korelasi antara variabel Pembiayaan Kepemilikan Rumah (KPR) </w:t>
      </w:r>
      <w:r w:rsidRPr="00A609FA">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dan NPF (X</w:t>
      </w:r>
      <w:r>
        <w:rPr>
          <w:rFonts w:ascii="Times New Roman" w:hAnsi="Times New Roman" w:cs="Times New Roman"/>
          <w:sz w:val="24"/>
          <w:szCs w:val="24"/>
          <w:vertAlign w:val="subscript"/>
        </w:rPr>
        <w:t>2</w:t>
      </w:r>
      <w:r>
        <w:rPr>
          <w:rFonts w:ascii="Times New Roman" w:hAnsi="Times New Roman" w:cs="Times New Roman"/>
          <w:sz w:val="24"/>
          <w:szCs w:val="24"/>
        </w:rPr>
        <w:t xml:space="preserve">) dengan ROA (Y) dengan nilai korelasi 0,744 atau 74,4% nilai tersebut berada pada tingkat hubungan yang </w:t>
      </w:r>
      <w:r w:rsidRPr="006F1130">
        <w:rPr>
          <w:rFonts w:ascii="Times New Roman" w:hAnsi="Times New Roman" w:cs="Times New Roman"/>
          <w:b/>
          <w:sz w:val="24"/>
          <w:szCs w:val="24"/>
        </w:rPr>
        <w:t>kuat.</w:t>
      </w:r>
    </w:p>
    <w:p w:rsidR="00CD2A16" w:rsidRDefault="00CD2A16" w:rsidP="00CD2A16">
      <w:pPr>
        <w:spacing w:after="0" w:line="480" w:lineRule="auto"/>
        <w:jc w:val="both"/>
        <w:rPr>
          <w:rFonts w:ascii="Times New Roman" w:hAnsi="Times New Roman" w:cs="Times New Roman"/>
          <w:sz w:val="24"/>
          <w:szCs w:val="24"/>
        </w:rPr>
      </w:pPr>
    </w:p>
    <w:p w:rsidR="00CD2A16" w:rsidRPr="00CD2A16" w:rsidRDefault="00CD2A16" w:rsidP="00CD2A16">
      <w:pPr>
        <w:spacing w:after="0" w:line="480" w:lineRule="auto"/>
        <w:jc w:val="both"/>
        <w:rPr>
          <w:rFonts w:ascii="Times New Roman" w:hAnsi="Times New Roman" w:cs="Times New Roman"/>
          <w:b/>
          <w:sz w:val="24"/>
          <w:szCs w:val="24"/>
        </w:rPr>
      </w:pPr>
      <w:r w:rsidRPr="00CD2A16">
        <w:rPr>
          <w:rFonts w:ascii="Times New Roman" w:hAnsi="Times New Roman" w:cs="Times New Roman"/>
          <w:b/>
          <w:sz w:val="24"/>
          <w:szCs w:val="24"/>
        </w:rPr>
        <w:t>4.2.4</w:t>
      </w:r>
      <w:r w:rsidRPr="00CD2A16">
        <w:rPr>
          <w:rFonts w:ascii="Times New Roman" w:hAnsi="Times New Roman" w:cs="Times New Roman"/>
          <w:b/>
          <w:sz w:val="24"/>
          <w:szCs w:val="24"/>
        </w:rPr>
        <w:tab/>
        <w:t>Koefisien Determinasi</w:t>
      </w:r>
    </w:p>
    <w:p w:rsidR="00CD2A16" w:rsidRDefault="00CD2A16" w:rsidP="00CD2A1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Koefisien Determinasi merupakan pengkuadratan dari korelasi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Analisis ini digunakan untuk mengetahui besarnya pengaruh variabel independen terhadap variabel dependen yang dinyatakan presentase. Pada permasalahan yang sedang diteliti pada pengaruh Pembiayaan Kepemilikan Rumah (KPR) </w:t>
      </w:r>
      <w:r w:rsidRPr="00CD2A16">
        <w:rPr>
          <w:rFonts w:ascii="Times New Roman" w:hAnsi="Times New Roman" w:cs="Times New Roman"/>
          <w:i/>
          <w:sz w:val="24"/>
          <w:szCs w:val="24"/>
        </w:rPr>
        <w:t xml:space="preserve">Murabahah </w:t>
      </w:r>
      <w:r>
        <w:rPr>
          <w:rFonts w:ascii="Times New Roman" w:hAnsi="Times New Roman" w:cs="Times New Roman"/>
          <w:sz w:val="24"/>
          <w:szCs w:val="24"/>
        </w:rPr>
        <w:t>dan NPF terhadap Profitabilitas (ROA) diperoleh koefisien determinasi sebagai berikut:</w:t>
      </w:r>
    </w:p>
    <w:p w:rsidR="00CD2A16" w:rsidRDefault="00CD2A16" w:rsidP="00CD2A16">
      <w:pPr>
        <w:spacing w:after="0" w:line="480" w:lineRule="auto"/>
        <w:jc w:val="both"/>
        <w:rPr>
          <w:rFonts w:ascii="Times New Roman" w:hAnsi="Times New Roman" w:cs="Times New Roman"/>
          <w:sz w:val="24"/>
          <w:szCs w:val="24"/>
        </w:rPr>
      </w:pPr>
    </w:p>
    <w:p w:rsidR="00CD2A16" w:rsidRDefault="00CD2A16" w:rsidP="00CD2A16">
      <w:pPr>
        <w:spacing w:after="0" w:line="480" w:lineRule="auto"/>
        <w:jc w:val="both"/>
        <w:rPr>
          <w:rFonts w:ascii="Times New Roman" w:hAnsi="Times New Roman" w:cs="Times New Roman"/>
          <w:sz w:val="24"/>
          <w:szCs w:val="24"/>
        </w:rPr>
      </w:pPr>
    </w:p>
    <w:p w:rsidR="00CD2A16" w:rsidRDefault="00CD2A16" w:rsidP="00CD2A16">
      <w:pPr>
        <w:spacing w:after="0" w:line="480" w:lineRule="auto"/>
        <w:jc w:val="both"/>
        <w:rPr>
          <w:rFonts w:ascii="Times New Roman" w:hAnsi="Times New Roman" w:cs="Times New Roman"/>
          <w:sz w:val="24"/>
          <w:szCs w:val="24"/>
        </w:rPr>
      </w:pPr>
    </w:p>
    <w:p w:rsidR="00CD2A16" w:rsidRDefault="00CD2A16" w:rsidP="00CD2A16">
      <w:pPr>
        <w:spacing w:after="0" w:line="480" w:lineRule="auto"/>
        <w:jc w:val="both"/>
        <w:rPr>
          <w:rFonts w:ascii="Times New Roman" w:hAnsi="Times New Roman" w:cs="Times New Roman"/>
          <w:sz w:val="24"/>
          <w:szCs w:val="24"/>
        </w:rPr>
      </w:pPr>
    </w:p>
    <w:p w:rsidR="00CD2A16" w:rsidRPr="00CD2A16" w:rsidRDefault="00CD2A16" w:rsidP="00CD2A16">
      <w:pPr>
        <w:spacing w:after="0" w:line="480" w:lineRule="auto"/>
        <w:jc w:val="center"/>
        <w:rPr>
          <w:rFonts w:ascii="Times New Roman" w:hAnsi="Times New Roman" w:cs="Times New Roman"/>
          <w:b/>
          <w:sz w:val="24"/>
          <w:szCs w:val="24"/>
        </w:rPr>
      </w:pPr>
      <w:r w:rsidRPr="00CD2A16">
        <w:rPr>
          <w:rFonts w:ascii="Times New Roman" w:hAnsi="Times New Roman" w:cs="Times New Roman"/>
          <w:b/>
          <w:sz w:val="24"/>
          <w:szCs w:val="24"/>
        </w:rPr>
        <w:lastRenderedPageBreak/>
        <w:t>Tabel 4.10</w:t>
      </w:r>
    </w:p>
    <w:p w:rsidR="00F1507D" w:rsidRPr="00F1507D" w:rsidRDefault="00CD2A16" w:rsidP="00CD2A16">
      <w:pPr>
        <w:spacing w:after="0" w:line="480" w:lineRule="auto"/>
        <w:jc w:val="center"/>
        <w:rPr>
          <w:rFonts w:ascii="Times New Roman" w:hAnsi="Times New Roman" w:cs="Times New Roman"/>
          <w:b/>
          <w:sz w:val="24"/>
          <w:szCs w:val="24"/>
        </w:rPr>
      </w:pPr>
      <w:r w:rsidRPr="00CD2A16">
        <w:rPr>
          <w:rFonts w:ascii="Times New Roman" w:hAnsi="Times New Roman" w:cs="Times New Roman"/>
          <w:b/>
          <w:sz w:val="24"/>
          <w:szCs w:val="24"/>
        </w:rPr>
        <w:t xml:space="preserve">Analisis </w:t>
      </w:r>
      <w:r>
        <w:rPr>
          <w:rFonts w:ascii="Times New Roman" w:hAnsi="Times New Roman" w:cs="Times New Roman"/>
          <w:b/>
          <w:sz w:val="24"/>
          <w:szCs w:val="24"/>
        </w:rPr>
        <w:t>Koefisien Korelas</w:t>
      </w:r>
      <w:r w:rsidR="006F1130">
        <w:rPr>
          <w:rFonts w:ascii="Times New Roman" w:hAnsi="Times New Roman" w:cs="Times New Roman"/>
          <w:b/>
          <w:sz w:val="24"/>
          <w:szCs w:val="24"/>
        </w:rPr>
        <w:t>i</w:t>
      </w:r>
    </w:p>
    <w:tbl>
      <w:tblPr>
        <w:tblpPr w:leftFromText="180" w:rightFromText="180" w:vertAnchor="text" w:tblpY="1"/>
        <w:tblOverlap w:val="never"/>
        <w:tblW w:w="5746" w:type="dxa"/>
        <w:tblInd w:w="13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3"/>
        <w:gridCol w:w="1000"/>
        <w:gridCol w:w="1061"/>
        <w:gridCol w:w="1456"/>
        <w:gridCol w:w="1456"/>
      </w:tblGrid>
      <w:tr w:rsidR="008577B4" w:rsidRPr="00F1507D" w:rsidTr="000031C4">
        <w:trPr>
          <w:cantSplit/>
        </w:trPr>
        <w:tc>
          <w:tcPr>
            <w:tcW w:w="5746" w:type="dxa"/>
            <w:gridSpan w:val="5"/>
            <w:tcBorders>
              <w:top w:val="nil"/>
              <w:left w:val="nil"/>
              <w:bottom w:val="nil"/>
              <w:right w:val="nil"/>
            </w:tcBorders>
            <w:shd w:val="clear" w:color="auto" w:fill="FFFFFF"/>
          </w:tcPr>
          <w:p w:rsidR="00F1507D" w:rsidRPr="00F1507D" w:rsidRDefault="00F1507D" w:rsidP="000031C4">
            <w:pPr>
              <w:autoSpaceDE w:val="0"/>
              <w:autoSpaceDN w:val="0"/>
              <w:adjustRightInd w:val="0"/>
              <w:spacing w:after="0" w:line="480" w:lineRule="auto"/>
              <w:ind w:left="60" w:right="60"/>
              <w:jc w:val="center"/>
              <w:rPr>
                <w:rFonts w:ascii="Arial" w:eastAsiaTheme="minorHAnsi" w:hAnsi="Arial" w:cs="Arial"/>
                <w:sz w:val="18"/>
                <w:szCs w:val="18"/>
                <w:lang w:eastAsia="en-US"/>
              </w:rPr>
            </w:pPr>
            <w:r w:rsidRPr="00F1507D">
              <w:rPr>
                <w:rFonts w:ascii="Arial" w:eastAsiaTheme="minorHAnsi" w:hAnsi="Arial" w:cs="Arial"/>
                <w:b/>
                <w:bCs/>
                <w:sz w:val="18"/>
                <w:szCs w:val="18"/>
                <w:lang w:eastAsia="en-US"/>
              </w:rPr>
              <w:t>Model Summary</w:t>
            </w:r>
            <w:r w:rsidRPr="00F1507D">
              <w:rPr>
                <w:rFonts w:ascii="Arial" w:eastAsiaTheme="minorHAnsi" w:hAnsi="Arial" w:cs="Arial"/>
                <w:b/>
                <w:bCs/>
                <w:sz w:val="18"/>
                <w:szCs w:val="18"/>
                <w:vertAlign w:val="superscript"/>
                <w:lang w:eastAsia="en-US"/>
              </w:rPr>
              <w:t>b</w:t>
            </w:r>
          </w:p>
        </w:tc>
      </w:tr>
      <w:tr w:rsidR="008577B4" w:rsidRPr="00F1507D" w:rsidTr="000031C4">
        <w:trPr>
          <w:cantSplit/>
        </w:trPr>
        <w:tc>
          <w:tcPr>
            <w:tcW w:w="773" w:type="dxa"/>
            <w:tcBorders>
              <w:top w:val="single" w:sz="16" w:space="0" w:color="000000"/>
              <w:left w:val="single" w:sz="16" w:space="0" w:color="000000"/>
              <w:bottom w:val="single" w:sz="16" w:space="0" w:color="000000"/>
              <w:right w:val="single" w:sz="16" w:space="0" w:color="000000"/>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Model</w:t>
            </w:r>
          </w:p>
        </w:tc>
        <w:tc>
          <w:tcPr>
            <w:tcW w:w="1000" w:type="dxa"/>
            <w:tcBorders>
              <w:top w:val="single" w:sz="16" w:space="0" w:color="000000"/>
              <w:left w:val="single" w:sz="16" w:space="0" w:color="000000"/>
              <w:bottom w:val="single" w:sz="16" w:space="0" w:color="000000"/>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R</w:t>
            </w:r>
          </w:p>
        </w:tc>
        <w:tc>
          <w:tcPr>
            <w:tcW w:w="1061" w:type="dxa"/>
            <w:tcBorders>
              <w:top w:val="single" w:sz="16" w:space="0" w:color="000000"/>
              <w:bottom w:val="single" w:sz="16" w:space="0" w:color="000000"/>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R Square</w:t>
            </w:r>
          </w:p>
        </w:tc>
        <w:tc>
          <w:tcPr>
            <w:tcW w:w="1456" w:type="dxa"/>
            <w:tcBorders>
              <w:top w:val="single" w:sz="16" w:space="0" w:color="000000"/>
              <w:bottom w:val="single" w:sz="16" w:space="0" w:color="000000"/>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Adjusted R Square</w:t>
            </w:r>
          </w:p>
        </w:tc>
        <w:tc>
          <w:tcPr>
            <w:tcW w:w="1456" w:type="dxa"/>
            <w:tcBorders>
              <w:top w:val="single" w:sz="16" w:space="0" w:color="000000"/>
              <w:bottom w:val="single" w:sz="16" w:space="0" w:color="000000"/>
              <w:right w:val="single" w:sz="16" w:space="0" w:color="000000"/>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Std. Error of the Estimate</w:t>
            </w:r>
          </w:p>
        </w:tc>
      </w:tr>
      <w:tr w:rsidR="008577B4" w:rsidRPr="00F1507D" w:rsidTr="000031C4">
        <w:trPr>
          <w:cantSplit/>
        </w:trPr>
        <w:tc>
          <w:tcPr>
            <w:tcW w:w="77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F1507D" w:rsidRPr="00F1507D" w:rsidRDefault="00EF2D22"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Pr>
                <w:rFonts w:ascii="Arial" w:eastAsiaTheme="minorHAnsi" w:hAnsi="Arial" w:cs="Arial"/>
                <w:sz w:val="18"/>
                <w:szCs w:val="18"/>
                <w:lang w:eastAsia="en-US"/>
              </w:rPr>
              <w:t>,744</w:t>
            </w:r>
            <w:r w:rsidR="00F1507D" w:rsidRPr="00F1507D">
              <w:rPr>
                <w:rFonts w:ascii="Arial" w:eastAsiaTheme="minorHAnsi" w:hAnsi="Arial" w:cs="Arial"/>
                <w:sz w:val="18"/>
                <w:szCs w:val="18"/>
                <w:vertAlign w:val="superscript"/>
                <w:lang w:eastAsia="en-US"/>
              </w:rPr>
              <w:t>a</w:t>
            </w:r>
          </w:p>
        </w:tc>
        <w:tc>
          <w:tcPr>
            <w:tcW w:w="1061" w:type="dxa"/>
            <w:tcBorders>
              <w:top w:val="single" w:sz="16" w:space="0" w:color="000000"/>
              <w:bottom w:val="single" w:sz="16" w:space="0" w:color="000000"/>
            </w:tcBorders>
            <w:shd w:val="clear" w:color="auto" w:fill="FFFFFF"/>
            <w:vAlign w:val="center"/>
          </w:tcPr>
          <w:p w:rsidR="00F1507D" w:rsidRPr="00F1507D" w:rsidRDefault="00EF2D22"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Pr>
                <w:rFonts w:ascii="Arial" w:eastAsiaTheme="minorHAnsi" w:hAnsi="Arial" w:cs="Arial"/>
                <w:sz w:val="18"/>
                <w:szCs w:val="18"/>
                <w:lang w:eastAsia="en-US"/>
              </w:rPr>
              <w:t>,553</w:t>
            </w:r>
          </w:p>
        </w:tc>
        <w:tc>
          <w:tcPr>
            <w:tcW w:w="1456" w:type="dxa"/>
            <w:tcBorders>
              <w:top w:val="single" w:sz="16" w:space="0" w:color="000000"/>
              <w:bottom w:val="single" w:sz="16" w:space="0" w:color="000000"/>
            </w:tcBorders>
            <w:shd w:val="clear" w:color="auto" w:fill="FFFFFF"/>
            <w:vAlign w:val="center"/>
          </w:tcPr>
          <w:p w:rsidR="00F1507D" w:rsidRPr="00F1507D" w:rsidRDefault="00EF2D22"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Pr>
                <w:rFonts w:ascii="Arial" w:eastAsiaTheme="minorHAnsi" w:hAnsi="Arial" w:cs="Arial"/>
                <w:sz w:val="18"/>
                <w:szCs w:val="18"/>
                <w:lang w:eastAsia="en-US"/>
              </w:rPr>
              <w:t>,225</w:t>
            </w:r>
          </w:p>
        </w:tc>
        <w:tc>
          <w:tcPr>
            <w:tcW w:w="1456" w:type="dxa"/>
            <w:tcBorders>
              <w:top w:val="single" w:sz="16" w:space="0" w:color="000000"/>
              <w:bottom w:val="single" w:sz="16" w:space="0" w:color="000000"/>
              <w:right w:val="single" w:sz="16" w:space="0" w:color="000000"/>
            </w:tcBorders>
            <w:shd w:val="clear" w:color="auto" w:fill="FFFFFF"/>
            <w:vAlign w:val="center"/>
          </w:tcPr>
          <w:p w:rsidR="00F1507D" w:rsidRPr="00F1507D" w:rsidRDefault="00EF2D22"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Pr>
                <w:rFonts w:ascii="Arial" w:eastAsiaTheme="minorHAnsi" w:hAnsi="Arial" w:cs="Arial"/>
                <w:sz w:val="18"/>
                <w:szCs w:val="18"/>
                <w:lang w:eastAsia="en-US"/>
              </w:rPr>
              <w:t>20,217</w:t>
            </w:r>
          </w:p>
        </w:tc>
      </w:tr>
      <w:tr w:rsidR="008577B4" w:rsidRPr="00F1507D" w:rsidTr="000031C4">
        <w:trPr>
          <w:cantSplit/>
        </w:trPr>
        <w:tc>
          <w:tcPr>
            <w:tcW w:w="5746" w:type="dxa"/>
            <w:gridSpan w:val="5"/>
            <w:tcBorders>
              <w:top w:val="nil"/>
              <w:left w:val="nil"/>
              <w:bottom w:val="nil"/>
              <w:right w:val="nil"/>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a. Predictors: (Con</w:t>
            </w:r>
            <w:r w:rsidR="00CD2A16">
              <w:rPr>
                <w:rFonts w:ascii="Arial" w:eastAsiaTheme="minorHAnsi" w:hAnsi="Arial" w:cs="Arial"/>
                <w:sz w:val="18"/>
                <w:szCs w:val="18"/>
                <w:lang w:eastAsia="en-US"/>
              </w:rPr>
              <w:t>stant), NPF, KPR</w:t>
            </w:r>
          </w:p>
        </w:tc>
      </w:tr>
      <w:tr w:rsidR="008577B4" w:rsidRPr="00F1507D" w:rsidTr="000031C4">
        <w:trPr>
          <w:cantSplit/>
        </w:trPr>
        <w:tc>
          <w:tcPr>
            <w:tcW w:w="5746" w:type="dxa"/>
            <w:gridSpan w:val="5"/>
            <w:tcBorders>
              <w:top w:val="nil"/>
              <w:left w:val="nil"/>
              <w:bottom w:val="nil"/>
              <w:right w:val="nil"/>
            </w:tcBorders>
            <w:shd w:val="clear" w:color="auto" w:fill="FFFFFF"/>
          </w:tcPr>
          <w:p w:rsidR="00F1507D" w:rsidRPr="00F1507D" w:rsidRDefault="00F1507D" w:rsidP="000031C4">
            <w:pPr>
              <w:autoSpaceDE w:val="0"/>
              <w:autoSpaceDN w:val="0"/>
              <w:adjustRightInd w:val="0"/>
              <w:spacing w:after="0" w:line="480" w:lineRule="auto"/>
              <w:ind w:left="60" w:right="60"/>
              <w:jc w:val="both"/>
              <w:rPr>
                <w:rFonts w:ascii="Arial" w:eastAsiaTheme="minorHAnsi" w:hAnsi="Arial" w:cs="Arial"/>
                <w:sz w:val="18"/>
                <w:szCs w:val="18"/>
                <w:lang w:eastAsia="en-US"/>
              </w:rPr>
            </w:pPr>
            <w:r w:rsidRPr="00F1507D">
              <w:rPr>
                <w:rFonts w:ascii="Arial" w:eastAsiaTheme="minorHAnsi" w:hAnsi="Arial" w:cs="Arial"/>
                <w:sz w:val="18"/>
                <w:szCs w:val="18"/>
                <w:lang w:eastAsia="en-US"/>
              </w:rPr>
              <w:t>b. Dependent Variable: ROA</w:t>
            </w:r>
          </w:p>
        </w:tc>
      </w:tr>
    </w:tbl>
    <w:p w:rsidR="004838C1" w:rsidRDefault="000031C4" w:rsidP="00084EEE">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br w:type="textWrapping" w:clear="all"/>
      </w:r>
      <w:r w:rsidR="00CD2A16">
        <w:rPr>
          <w:rFonts w:ascii="Times New Roman" w:hAnsi="Times New Roman" w:cs="Times New Roman"/>
          <w:b/>
          <w:sz w:val="24"/>
          <w:szCs w:val="24"/>
        </w:rPr>
        <w:t xml:space="preserve">Sumber : SPSS </w:t>
      </w:r>
      <w:r w:rsidR="00964E55">
        <w:rPr>
          <w:rFonts w:ascii="Times New Roman" w:hAnsi="Times New Roman" w:cs="Times New Roman"/>
          <w:b/>
          <w:sz w:val="24"/>
          <w:szCs w:val="24"/>
        </w:rPr>
        <w:t>25</w:t>
      </w:r>
      <w:r w:rsidR="00CD2A16">
        <w:rPr>
          <w:rFonts w:ascii="Times New Roman" w:hAnsi="Times New Roman" w:cs="Times New Roman"/>
          <w:b/>
          <w:sz w:val="24"/>
          <w:szCs w:val="24"/>
        </w:rPr>
        <w:t>, data sekunder ,2018</w:t>
      </w:r>
    </w:p>
    <w:p w:rsidR="006F1130" w:rsidRDefault="00CD2A16" w:rsidP="00CD2A1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6F1130" w:rsidRPr="006F1130">
        <w:rPr>
          <w:rFonts w:ascii="Times New Roman" w:hAnsi="Times New Roman" w:cs="Times New Roman"/>
          <w:sz w:val="24"/>
          <w:szCs w:val="24"/>
        </w:rPr>
        <w:t>Berda</w:t>
      </w:r>
      <w:r w:rsidR="006F1130">
        <w:rPr>
          <w:rFonts w:ascii="Times New Roman" w:hAnsi="Times New Roman" w:cs="Times New Roman"/>
          <w:sz w:val="24"/>
          <w:szCs w:val="24"/>
        </w:rPr>
        <w:t>sarkan</w:t>
      </w:r>
      <w:r w:rsidR="00F7105F">
        <w:rPr>
          <w:rFonts w:ascii="Times New Roman" w:hAnsi="Times New Roman" w:cs="Times New Roman"/>
          <w:sz w:val="24"/>
          <w:szCs w:val="24"/>
        </w:rPr>
        <w:t xml:space="preserve"> tabel 4.10 diperoleh nilai</w:t>
      </w:r>
      <w:r w:rsidR="00F7105F">
        <w:rPr>
          <w:rFonts w:ascii="Times New Roman" w:hAnsi="Times New Roman" w:cs="Times New Roman"/>
          <w:sz w:val="24"/>
          <w:szCs w:val="24"/>
          <w:lang w:val="en-US"/>
        </w:rPr>
        <w:t xml:space="preserve"> </w:t>
      </w:r>
      <w:r w:rsidR="006F1130">
        <w:rPr>
          <w:rFonts w:ascii="Times New Roman" w:hAnsi="Times New Roman" w:cs="Times New Roman"/>
          <w:sz w:val="24"/>
          <w:szCs w:val="24"/>
        </w:rPr>
        <w:t>R</w:t>
      </w:r>
      <w:r w:rsidR="00F7105F">
        <w:rPr>
          <w:rFonts w:ascii="Times New Roman" w:hAnsi="Times New Roman" w:cs="Times New Roman"/>
          <w:sz w:val="24"/>
          <w:szCs w:val="24"/>
          <w:lang w:val="en-US"/>
        </w:rPr>
        <w:t xml:space="preserve"> Square</w:t>
      </w:r>
      <w:r w:rsidR="00F7105F">
        <w:rPr>
          <w:rFonts w:ascii="Times New Roman" w:hAnsi="Times New Roman" w:cs="Times New Roman"/>
          <w:sz w:val="24"/>
          <w:szCs w:val="24"/>
        </w:rPr>
        <w:t xml:space="preserve"> sebesar 0,</w:t>
      </w:r>
      <w:r w:rsidR="006F1130">
        <w:rPr>
          <w:rFonts w:ascii="Times New Roman" w:hAnsi="Times New Roman" w:cs="Times New Roman"/>
          <w:sz w:val="24"/>
          <w:szCs w:val="24"/>
        </w:rPr>
        <w:t>5</w:t>
      </w:r>
      <w:r w:rsidR="00F7105F">
        <w:rPr>
          <w:rFonts w:ascii="Times New Roman" w:hAnsi="Times New Roman" w:cs="Times New Roman"/>
          <w:sz w:val="24"/>
          <w:szCs w:val="24"/>
          <w:lang w:val="en-US"/>
        </w:rPr>
        <w:t>53</w:t>
      </w:r>
      <w:r w:rsidR="00F7105F">
        <w:rPr>
          <w:rFonts w:ascii="Times New Roman" w:hAnsi="Times New Roman" w:cs="Times New Roman"/>
          <w:sz w:val="24"/>
          <w:szCs w:val="24"/>
        </w:rPr>
        <w:t xml:space="preserve"> atau </w:t>
      </w:r>
      <w:r w:rsidR="00F7105F">
        <w:rPr>
          <w:rFonts w:ascii="Times New Roman" w:hAnsi="Times New Roman" w:cs="Times New Roman"/>
          <w:sz w:val="24"/>
          <w:szCs w:val="24"/>
          <w:lang w:val="en-US"/>
        </w:rPr>
        <w:t>55</w:t>
      </w:r>
      <w:r w:rsidR="00F7105F">
        <w:rPr>
          <w:rFonts w:ascii="Times New Roman" w:hAnsi="Times New Roman" w:cs="Times New Roman"/>
          <w:sz w:val="24"/>
          <w:szCs w:val="24"/>
        </w:rPr>
        <w:t>,</w:t>
      </w:r>
      <w:r w:rsidR="00F7105F">
        <w:rPr>
          <w:rFonts w:ascii="Times New Roman" w:hAnsi="Times New Roman" w:cs="Times New Roman"/>
          <w:sz w:val="24"/>
          <w:szCs w:val="24"/>
          <w:lang w:val="en-US"/>
        </w:rPr>
        <w:t>3</w:t>
      </w:r>
      <w:r w:rsidR="006F1130">
        <w:rPr>
          <w:rFonts w:ascii="Times New Roman" w:hAnsi="Times New Roman" w:cs="Times New Roman"/>
          <w:sz w:val="24"/>
          <w:szCs w:val="24"/>
        </w:rPr>
        <w:t xml:space="preserve">%. Ini menunjukan bahwa kedua variabel KPR </w:t>
      </w:r>
      <w:r w:rsidR="006F1130" w:rsidRPr="006F1130">
        <w:rPr>
          <w:rFonts w:ascii="Times New Roman" w:hAnsi="Times New Roman" w:cs="Times New Roman"/>
          <w:i/>
          <w:sz w:val="24"/>
          <w:szCs w:val="24"/>
        </w:rPr>
        <w:t>Murabahah</w:t>
      </w:r>
      <w:r w:rsidR="006F1130">
        <w:rPr>
          <w:rFonts w:ascii="Times New Roman" w:hAnsi="Times New Roman" w:cs="Times New Roman"/>
          <w:sz w:val="24"/>
          <w:szCs w:val="24"/>
        </w:rPr>
        <w:t xml:space="preserve"> (X</w:t>
      </w:r>
      <w:r w:rsidR="006F1130">
        <w:rPr>
          <w:rFonts w:ascii="Times New Roman" w:hAnsi="Times New Roman" w:cs="Times New Roman"/>
          <w:sz w:val="24"/>
          <w:szCs w:val="24"/>
          <w:vertAlign w:val="subscript"/>
        </w:rPr>
        <w:t>1</w:t>
      </w:r>
      <w:r w:rsidR="006F1130">
        <w:rPr>
          <w:rFonts w:ascii="Times New Roman" w:hAnsi="Times New Roman" w:cs="Times New Roman"/>
          <w:sz w:val="24"/>
          <w:szCs w:val="24"/>
        </w:rPr>
        <w:t>) dan NPF (X</w:t>
      </w:r>
      <w:r w:rsidR="006F1130">
        <w:rPr>
          <w:rFonts w:ascii="Times New Roman" w:hAnsi="Times New Roman" w:cs="Times New Roman"/>
          <w:sz w:val="24"/>
          <w:szCs w:val="24"/>
          <w:vertAlign w:val="subscript"/>
        </w:rPr>
        <w:t>2</w:t>
      </w:r>
      <w:r w:rsidR="006F1130">
        <w:rPr>
          <w:rFonts w:ascii="Times New Roman" w:hAnsi="Times New Roman" w:cs="Times New Roman"/>
          <w:sz w:val="24"/>
          <w:szCs w:val="24"/>
        </w:rPr>
        <w:t xml:space="preserve">) </w:t>
      </w:r>
      <w:r w:rsidR="00F7105F">
        <w:rPr>
          <w:rFonts w:ascii="Times New Roman" w:hAnsi="Times New Roman" w:cs="Times New Roman"/>
          <w:sz w:val="24"/>
          <w:szCs w:val="24"/>
        </w:rPr>
        <w:t xml:space="preserve">memberikan kontribusi sebesar </w:t>
      </w:r>
      <w:r w:rsidR="00F7105F">
        <w:rPr>
          <w:rFonts w:ascii="Times New Roman" w:hAnsi="Times New Roman" w:cs="Times New Roman"/>
          <w:sz w:val="24"/>
          <w:szCs w:val="24"/>
          <w:lang w:val="en-US"/>
        </w:rPr>
        <w:t>55</w:t>
      </w:r>
      <w:r w:rsidR="00F7105F">
        <w:rPr>
          <w:rFonts w:ascii="Times New Roman" w:hAnsi="Times New Roman" w:cs="Times New Roman"/>
          <w:sz w:val="24"/>
          <w:szCs w:val="24"/>
        </w:rPr>
        <w:t>,</w:t>
      </w:r>
      <w:r w:rsidR="00F7105F">
        <w:rPr>
          <w:rFonts w:ascii="Times New Roman" w:hAnsi="Times New Roman" w:cs="Times New Roman"/>
          <w:sz w:val="24"/>
          <w:szCs w:val="24"/>
          <w:lang w:val="en-US"/>
        </w:rPr>
        <w:t>3</w:t>
      </w:r>
      <w:r w:rsidR="006F1130">
        <w:rPr>
          <w:rFonts w:ascii="Times New Roman" w:hAnsi="Times New Roman" w:cs="Times New Roman"/>
          <w:sz w:val="24"/>
          <w:szCs w:val="24"/>
        </w:rPr>
        <w:t>% terhadap ROA PT. Bank Bjb Syariah periode 2010 hingga 2015, dan untik sisanya yaitu se</w:t>
      </w:r>
      <w:r w:rsidR="00F7105F">
        <w:rPr>
          <w:rFonts w:ascii="Times New Roman" w:hAnsi="Times New Roman" w:cs="Times New Roman"/>
          <w:sz w:val="24"/>
          <w:szCs w:val="24"/>
        </w:rPr>
        <w:t xml:space="preserve">besar </w:t>
      </w:r>
      <w:r w:rsidR="00F7105F">
        <w:rPr>
          <w:rFonts w:ascii="Times New Roman" w:hAnsi="Times New Roman" w:cs="Times New Roman"/>
          <w:sz w:val="24"/>
          <w:szCs w:val="24"/>
          <w:lang w:val="en-US"/>
        </w:rPr>
        <w:t>44</w:t>
      </w:r>
      <w:r w:rsidR="00F7105F">
        <w:rPr>
          <w:rFonts w:ascii="Times New Roman" w:hAnsi="Times New Roman" w:cs="Times New Roman"/>
          <w:sz w:val="24"/>
          <w:szCs w:val="24"/>
        </w:rPr>
        <w:t>,</w:t>
      </w:r>
      <w:r w:rsidR="00F7105F">
        <w:rPr>
          <w:rFonts w:ascii="Times New Roman" w:hAnsi="Times New Roman" w:cs="Times New Roman"/>
          <w:sz w:val="24"/>
          <w:szCs w:val="24"/>
          <w:lang w:val="en-US"/>
        </w:rPr>
        <w:t>7</w:t>
      </w:r>
      <w:r w:rsidR="006F1130">
        <w:rPr>
          <w:rFonts w:ascii="Times New Roman" w:hAnsi="Times New Roman" w:cs="Times New Roman"/>
          <w:sz w:val="24"/>
          <w:szCs w:val="24"/>
        </w:rPr>
        <w:t>% dipengaruhi oleh faktor lain yang tidak diteliti oleh penulis.</w:t>
      </w:r>
    </w:p>
    <w:p w:rsidR="006F1130" w:rsidRDefault="006F1130" w:rsidP="00CD2A16">
      <w:pPr>
        <w:autoSpaceDE w:val="0"/>
        <w:autoSpaceDN w:val="0"/>
        <w:adjustRightInd w:val="0"/>
        <w:spacing w:after="0" w:line="480" w:lineRule="auto"/>
        <w:jc w:val="both"/>
        <w:rPr>
          <w:rFonts w:ascii="Times New Roman" w:hAnsi="Times New Roman" w:cs="Times New Roman"/>
          <w:sz w:val="24"/>
          <w:szCs w:val="24"/>
        </w:rPr>
      </w:pPr>
    </w:p>
    <w:p w:rsidR="006F1130" w:rsidRDefault="006F1130" w:rsidP="00CD2A16">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4.2.5</w:t>
      </w:r>
      <w:r>
        <w:rPr>
          <w:rFonts w:ascii="Times New Roman" w:hAnsi="Times New Roman" w:cs="Times New Roman"/>
          <w:b/>
          <w:sz w:val="24"/>
          <w:szCs w:val="24"/>
        </w:rPr>
        <w:tab/>
        <w:t>Uji Parsial (Uji t)</w:t>
      </w:r>
    </w:p>
    <w:p w:rsidR="00C23C31" w:rsidRDefault="006F1130" w:rsidP="00C23C31">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rPr>
        <w:tab/>
      </w:r>
      <w:r w:rsidR="00C23C31">
        <w:rPr>
          <w:rFonts w:ascii="Times New Roman" w:hAnsi="Times New Roman" w:cs="Times New Roman"/>
          <w:sz w:val="24"/>
          <w:szCs w:val="24"/>
        </w:rPr>
        <w:t>Menurut Sugiyono (2012:194) Uji t digunakan untuk mengetahui signifikansi pengaruh variabel bebas secara parsial terhadap variabel terikat. Tujuannya adalah untuk mengetahui apakah masing-masing variabel bebas secara signifikan terdapat hubungan dengan variabel terikat. Apakah pengaruh variabel X</w:t>
      </w:r>
      <w:r w:rsidR="00C23C31">
        <w:rPr>
          <w:rFonts w:ascii="Times New Roman" w:hAnsi="Times New Roman" w:cs="Times New Roman"/>
          <w:sz w:val="24"/>
          <w:szCs w:val="24"/>
          <w:vertAlign w:val="subscript"/>
        </w:rPr>
        <w:t>1</w:t>
      </w:r>
      <w:r w:rsidR="00C23C31">
        <w:rPr>
          <w:rFonts w:ascii="Times New Roman" w:hAnsi="Times New Roman" w:cs="Times New Roman"/>
          <w:sz w:val="24"/>
          <w:szCs w:val="24"/>
        </w:rPr>
        <w:t xml:space="preserve"> dan X</w:t>
      </w:r>
      <w:r w:rsidR="00C23C31">
        <w:rPr>
          <w:rFonts w:ascii="Times New Roman" w:hAnsi="Times New Roman" w:cs="Times New Roman"/>
          <w:sz w:val="24"/>
          <w:szCs w:val="24"/>
          <w:vertAlign w:val="subscript"/>
        </w:rPr>
        <w:t>2</w:t>
      </w:r>
      <w:r w:rsidR="00C23C31">
        <w:rPr>
          <w:rFonts w:ascii="Times New Roman" w:hAnsi="Times New Roman" w:cs="Times New Roman"/>
          <w:sz w:val="24"/>
          <w:szCs w:val="24"/>
        </w:rPr>
        <w:t xml:space="preserve"> secara simultan terhadap Y signifikan. Berikut ini adalah data hasil pengolahan data menggunakan </w:t>
      </w:r>
      <w:r w:rsidR="00C23C31" w:rsidRPr="00C23C31">
        <w:rPr>
          <w:rFonts w:ascii="Times New Roman" w:hAnsi="Times New Roman" w:cs="Times New Roman"/>
          <w:i/>
          <w:sz w:val="24"/>
          <w:szCs w:val="24"/>
        </w:rPr>
        <w:t>software</w:t>
      </w:r>
      <w:r w:rsidR="00C23C31">
        <w:rPr>
          <w:rFonts w:ascii="Times New Roman" w:hAnsi="Times New Roman" w:cs="Times New Roman"/>
          <w:sz w:val="24"/>
          <w:szCs w:val="24"/>
        </w:rPr>
        <w:t xml:space="preserve"> SPSS 25:</w:t>
      </w:r>
    </w:p>
    <w:p w:rsidR="009F58E9" w:rsidRDefault="009F58E9" w:rsidP="00C23C31">
      <w:pPr>
        <w:autoSpaceDE w:val="0"/>
        <w:autoSpaceDN w:val="0"/>
        <w:adjustRightInd w:val="0"/>
        <w:spacing w:after="0" w:line="480" w:lineRule="auto"/>
        <w:jc w:val="both"/>
        <w:rPr>
          <w:rFonts w:ascii="Times New Roman" w:hAnsi="Times New Roman" w:cs="Times New Roman"/>
          <w:sz w:val="24"/>
          <w:szCs w:val="24"/>
          <w:lang w:val="en-US"/>
        </w:rPr>
      </w:pPr>
    </w:p>
    <w:p w:rsidR="009F58E9" w:rsidRDefault="009F58E9" w:rsidP="00C23C31">
      <w:pPr>
        <w:autoSpaceDE w:val="0"/>
        <w:autoSpaceDN w:val="0"/>
        <w:adjustRightInd w:val="0"/>
        <w:spacing w:after="0" w:line="480" w:lineRule="auto"/>
        <w:jc w:val="both"/>
        <w:rPr>
          <w:rFonts w:ascii="Times New Roman" w:hAnsi="Times New Roman" w:cs="Times New Roman"/>
          <w:sz w:val="24"/>
          <w:szCs w:val="24"/>
          <w:lang w:val="en-US"/>
        </w:rPr>
      </w:pPr>
    </w:p>
    <w:p w:rsidR="009F58E9" w:rsidRDefault="009F58E9" w:rsidP="00C23C31">
      <w:pPr>
        <w:autoSpaceDE w:val="0"/>
        <w:autoSpaceDN w:val="0"/>
        <w:adjustRightInd w:val="0"/>
        <w:spacing w:after="0" w:line="480" w:lineRule="auto"/>
        <w:jc w:val="both"/>
        <w:rPr>
          <w:rFonts w:ascii="Times New Roman" w:hAnsi="Times New Roman" w:cs="Times New Roman"/>
          <w:sz w:val="24"/>
          <w:szCs w:val="24"/>
          <w:lang w:val="en-US"/>
        </w:rPr>
      </w:pPr>
    </w:p>
    <w:p w:rsidR="009F58E9" w:rsidRPr="009F58E9" w:rsidRDefault="009F58E9" w:rsidP="00C23C31">
      <w:pPr>
        <w:autoSpaceDE w:val="0"/>
        <w:autoSpaceDN w:val="0"/>
        <w:adjustRightInd w:val="0"/>
        <w:spacing w:after="0" w:line="480" w:lineRule="auto"/>
        <w:jc w:val="both"/>
        <w:rPr>
          <w:rFonts w:ascii="Times New Roman" w:hAnsi="Times New Roman" w:cs="Times New Roman"/>
          <w:sz w:val="24"/>
          <w:szCs w:val="24"/>
          <w:lang w:val="en-US"/>
        </w:rPr>
      </w:pPr>
    </w:p>
    <w:tbl>
      <w:tblPr>
        <w:tblW w:w="90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0"/>
        <w:gridCol w:w="1102"/>
        <w:gridCol w:w="1245"/>
        <w:gridCol w:w="1245"/>
        <w:gridCol w:w="1373"/>
        <w:gridCol w:w="958"/>
        <w:gridCol w:w="2467"/>
        <w:gridCol w:w="507"/>
      </w:tblGrid>
      <w:tr w:rsidR="00392474" w:rsidRPr="002E439F" w:rsidTr="00392474">
        <w:trPr>
          <w:cantSplit/>
          <w:trHeight w:val="312"/>
        </w:trPr>
        <w:tc>
          <w:tcPr>
            <w:tcW w:w="9057" w:type="dxa"/>
            <w:gridSpan w:val="8"/>
            <w:tcBorders>
              <w:top w:val="nil"/>
              <w:left w:val="nil"/>
              <w:bottom w:val="nil"/>
              <w:right w:val="nil"/>
            </w:tcBorders>
            <w:shd w:val="clear" w:color="auto" w:fill="FFFFFF"/>
            <w:vAlign w:val="center"/>
          </w:tcPr>
          <w:p w:rsidR="009F58E9" w:rsidRDefault="009F58E9" w:rsidP="009F58E9">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4.11</w:t>
            </w:r>
          </w:p>
          <w:p w:rsidR="009F58E9" w:rsidRPr="009F58E9" w:rsidRDefault="009F58E9" w:rsidP="009F58E9">
            <w:pPr>
              <w:autoSpaceDE w:val="0"/>
              <w:autoSpaceDN w:val="0"/>
              <w:adjustRightInd w:val="0"/>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 xml:space="preserve">Uji </w:t>
            </w:r>
            <w:r>
              <w:rPr>
                <w:rFonts w:ascii="Times New Roman" w:hAnsi="Times New Roman" w:cs="Times New Roman"/>
                <w:b/>
                <w:sz w:val="24"/>
                <w:szCs w:val="24"/>
                <w:lang w:val="en-US"/>
              </w:rPr>
              <w:t>Parsial</w:t>
            </w:r>
            <w:r>
              <w:rPr>
                <w:rFonts w:ascii="Times New Roman" w:hAnsi="Times New Roman" w:cs="Times New Roman"/>
                <w:b/>
                <w:sz w:val="24"/>
                <w:szCs w:val="24"/>
              </w:rPr>
              <w:t xml:space="preserve"> (Uji </w:t>
            </w:r>
            <w:r>
              <w:rPr>
                <w:rFonts w:ascii="Times New Roman" w:hAnsi="Times New Roman" w:cs="Times New Roman"/>
                <w:b/>
                <w:sz w:val="24"/>
                <w:szCs w:val="24"/>
                <w:lang w:val="en-US"/>
              </w:rPr>
              <w:t>t</w:t>
            </w:r>
            <w:r>
              <w:rPr>
                <w:rFonts w:ascii="Times New Roman" w:hAnsi="Times New Roman" w:cs="Times New Roman"/>
                <w:b/>
                <w:sz w:val="24"/>
                <w:szCs w:val="24"/>
              </w:rPr>
              <w:t>)</w:t>
            </w:r>
          </w:p>
          <w:p w:rsidR="00392474" w:rsidRPr="002E439F" w:rsidRDefault="00392474" w:rsidP="007C1316">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Coefficients</w:t>
            </w:r>
            <w:r w:rsidRPr="002E439F">
              <w:rPr>
                <w:rFonts w:ascii="Arial" w:hAnsi="Arial" w:cs="Arial"/>
                <w:b/>
                <w:bCs/>
                <w:color w:val="010205"/>
                <w:vertAlign w:val="superscript"/>
              </w:rPr>
              <w:t>a</w:t>
            </w:r>
          </w:p>
        </w:tc>
      </w:tr>
      <w:tr w:rsidR="00392474" w:rsidRPr="002E439F" w:rsidTr="00392474">
        <w:trPr>
          <w:gridAfter w:val="1"/>
          <w:wAfter w:w="507" w:type="dxa"/>
          <w:cantSplit/>
          <w:trHeight w:val="595"/>
        </w:trPr>
        <w:tc>
          <w:tcPr>
            <w:tcW w:w="1262" w:type="dxa"/>
            <w:gridSpan w:val="2"/>
            <w:vMerge w:val="restart"/>
            <w:tcBorders>
              <w:top w:val="nil"/>
              <w:left w:val="nil"/>
              <w:bottom w:val="nil"/>
              <w:right w:val="nil"/>
            </w:tcBorders>
            <w:shd w:val="clear" w:color="auto" w:fill="FFFFFF"/>
            <w:vAlign w:val="bottom"/>
          </w:tcPr>
          <w:p w:rsidR="00392474" w:rsidRPr="002E439F" w:rsidRDefault="00392474" w:rsidP="007C1316">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Model</w:t>
            </w:r>
          </w:p>
        </w:tc>
        <w:tc>
          <w:tcPr>
            <w:tcW w:w="2490" w:type="dxa"/>
            <w:gridSpan w:val="2"/>
            <w:tcBorders>
              <w:top w:val="nil"/>
              <w:left w:val="nil"/>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Unstandardized Coefficients</w:t>
            </w:r>
          </w:p>
        </w:tc>
        <w:tc>
          <w:tcPr>
            <w:tcW w:w="1373" w:type="dxa"/>
            <w:tcBorders>
              <w:top w:val="nil"/>
              <w:left w:val="single" w:sz="8" w:space="0" w:color="E0E0E0"/>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Standardized Coefficients</w:t>
            </w:r>
          </w:p>
        </w:tc>
        <w:tc>
          <w:tcPr>
            <w:tcW w:w="958" w:type="dxa"/>
            <w:vMerge w:val="restart"/>
            <w:tcBorders>
              <w:top w:val="nil"/>
              <w:left w:val="single" w:sz="8" w:space="0" w:color="E0E0E0"/>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T</w:t>
            </w:r>
          </w:p>
        </w:tc>
        <w:tc>
          <w:tcPr>
            <w:tcW w:w="2467" w:type="dxa"/>
            <w:vMerge w:val="restart"/>
            <w:tcBorders>
              <w:top w:val="nil"/>
              <w:left w:val="single" w:sz="8" w:space="0" w:color="E0E0E0"/>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Sig.</w:t>
            </w:r>
          </w:p>
        </w:tc>
      </w:tr>
      <w:tr w:rsidR="00392474" w:rsidRPr="002E439F" w:rsidTr="00392474">
        <w:trPr>
          <w:gridAfter w:val="1"/>
          <w:wAfter w:w="507" w:type="dxa"/>
          <w:cantSplit/>
          <w:trHeight w:val="135"/>
        </w:trPr>
        <w:tc>
          <w:tcPr>
            <w:tcW w:w="1262" w:type="dxa"/>
            <w:gridSpan w:val="2"/>
            <w:vMerge/>
            <w:tcBorders>
              <w:top w:val="nil"/>
              <w:left w:val="nil"/>
              <w:bottom w:val="nil"/>
              <w:right w:val="nil"/>
            </w:tcBorders>
            <w:shd w:val="clear" w:color="auto" w:fill="FFFFFF"/>
            <w:vAlign w:val="bottom"/>
          </w:tcPr>
          <w:p w:rsidR="00392474" w:rsidRPr="002E439F" w:rsidRDefault="00392474" w:rsidP="007C1316">
            <w:pPr>
              <w:autoSpaceDE w:val="0"/>
              <w:autoSpaceDN w:val="0"/>
              <w:adjustRightInd w:val="0"/>
              <w:spacing w:after="0" w:line="240" w:lineRule="auto"/>
              <w:rPr>
                <w:rFonts w:ascii="Arial" w:hAnsi="Arial" w:cs="Arial"/>
                <w:color w:val="264A60"/>
                <w:sz w:val="18"/>
                <w:szCs w:val="18"/>
              </w:rPr>
            </w:pPr>
          </w:p>
        </w:tc>
        <w:tc>
          <w:tcPr>
            <w:tcW w:w="1245" w:type="dxa"/>
            <w:tcBorders>
              <w:top w:val="nil"/>
              <w:left w:val="nil"/>
              <w:bottom w:val="single" w:sz="8" w:space="0" w:color="152935"/>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w:t>
            </w:r>
          </w:p>
        </w:tc>
        <w:tc>
          <w:tcPr>
            <w:tcW w:w="1245" w:type="dxa"/>
            <w:tcBorders>
              <w:top w:val="nil"/>
              <w:left w:val="single" w:sz="8" w:space="0" w:color="E0E0E0"/>
              <w:bottom w:val="single" w:sz="8" w:space="0" w:color="152935"/>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Std. Error</w:t>
            </w:r>
          </w:p>
        </w:tc>
        <w:tc>
          <w:tcPr>
            <w:tcW w:w="1373" w:type="dxa"/>
            <w:tcBorders>
              <w:top w:val="nil"/>
              <w:left w:val="single" w:sz="8" w:space="0" w:color="E0E0E0"/>
              <w:bottom w:val="single" w:sz="8" w:space="0" w:color="152935"/>
              <w:right w:val="single" w:sz="8" w:space="0" w:color="E0E0E0"/>
            </w:tcBorders>
            <w:shd w:val="clear" w:color="auto" w:fill="FFFFFF"/>
            <w:vAlign w:val="bottom"/>
          </w:tcPr>
          <w:p w:rsidR="00392474" w:rsidRPr="002E439F" w:rsidRDefault="00392474" w:rsidP="007C1316">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Beta</w:t>
            </w:r>
          </w:p>
        </w:tc>
        <w:tc>
          <w:tcPr>
            <w:tcW w:w="958" w:type="dxa"/>
            <w:vMerge/>
            <w:tcBorders>
              <w:top w:val="nil"/>
              <w:left w:val="single" w:sz="8" w:space="0" w:color="E0E0E0"/>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240" w:lineRule="auto"/>
              <w:rPr>
                <w:rFonts w:ascii="Arial" w:hAnsi="Arial" w:cs="Arial"/>
                <w:color w:val="264A60"/>
                <w:sz w:val="18"/>
                <w:szCs w:val="18"/>
              </w:rPr>
            </w:pPr>
          </w:p>
        </w:tc>
        <w:tc>
          <w:tcPr>
            <w:tcW w:w="2467" w:type="dxa"/>
            <w:vMerge/>
            <w:tcBorders>
              <w:top w:val="nil"/>
              <w:left w:val="single" w:sz="8" w:space="0" w:color="E0E0E0"/>
              <w:bottom w:val="nil"/>
              <w:right w:val="single" w:sz="8" w:space="0" w:color="E0E0E0"/>
            </w:tcBorders>
            <w:shd w:val="clear" w:color="auto" w:fill="FFFFFF"/>
            <w:vAlign w:val="bottom"/>
          </w:tcPr>
          <w:p w:rsidR="00392474" w:rsidRPr="002E439F" w:rsidRDefault="00392474" w:rsidP="007C1316">
            <w:pPr>
              <w:autoSpaceDE w:val="0"/>
              <w:autoSpaceDN w:val="0"/>
              <w:adjustRightInd w:val="0"/>
              <w:spacing w:after="0" w:line="240" w:lineRule="auto"/>
              <w:rPr>
                <w:rFonts w:ascii="Arial" w:hAnsi="Arial" w:cs="Arial"/>
                <w:color w:val="264A60"/>
                <w:sz w:val="18"/>
                <w:szCs w:val="18"/>
              </w:rPr>
            </w:pPr>
          </w:p>
        </w:tc>
      </w:tr>
      <w:tr w:rsidR="00392474" w:rsidRPr="002E439F" w:rsidTr="00392474">
        <w:trPr>
          <w:gridAfter w:val="1"/>
          <w:wAfter w:w="507" w:type="dxa"/>
          <w:cantSplit/>
          <w:trHeight w:val="312"/>
        </w:trPr>
        <w:tc>
          <w:tcPr>
            <w:tcW w:w="160" w:type="dxa"/>
            <w:vMerge w:val="restart"/>
            <w:tcBorders>
              <w:top w:val="single" w:sz="8" w:space="0" w:color="152935"/>
              <w:left w:val="nil"/>
              <w:bottom w:val="single" w:sz="8" w:space="0" w:color="152935"/>
              <w:right w:val="nil"/>
            </w:tcBorders>
            <w:shd w:val="clear" w:color="auto" w:fill="E0E0E0"/>
          </w:tcPr>
          <w:p w:rsidR="00392474" w:rsidRPr="002E439F" w:rsidRDefault="00392474" w:rsidP="007C1316">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1</w:t>
            </w:r>
          </w:p>
        </w:tc>
        <w:tc>
          <w:tcPr>
            <w:tcW w:w="1102" w:type="dxa"/>
            <w:tcBorders>
              <w:top w:val="single" w:sz="8" w:space="0" w:color="152935"/>
              <w:left w:val="nil"/>
              <w:bottom w:val="single" w:sz="8" w:space="0" w:color="AEAEAE"/>
              <w:right w:val="nil"/>
            </w:tcBorders>
            <w:shd w:val="clear" w:color="auto" w:fill="E0E0E0"/>
          </w:tcPr>
          <w:p w:rsidR="00392474" w:rsidRPr="002E439F" w:rsidRDefault="00392474" w:rsidP="007C1316">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(Constant)</w:t>
            </w:r>
          </w:p>
        </w:tc>
        <w:tc>
          <w:tcPr>
            <w:tcW w:w="1245" w:type="dxa"/>
            <w:tcBorders>
              <w:top w:val="single" w:sz="8" w:space="0" w:color="152935"/>
              <w:left w:val="nil"/>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1.006</w:t>
            </w:r>
          </w:p>
        </w:tc>
        <w:tc>
          <w:tcPr>
            <w:tcW w:w="1245" w:type="dxa"/>
            <w:tcBorders>
              <w:top w:val="single" w:sz="8" w:space="0" w:color="152935"/>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3.019</w:t>
            </w:r>
          </w:p>
        </w:tc>
        <w:tc>
          <w:tcPr>
            <w:tcW w:w="1373"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392474" w:rsidRPr="002E439F" w:rsidRDefault="00392474" w:rsidP="007C1316">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8" w:space="0" w:color="152935"/>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.333</w:t>
            </w:r>
          </w:p>
        </w:tc>
        <w:tc>
          <w:tcPr>
            <w:tcW w:w="2467" w:type="dxa"/>
            <w:tcBorders>
              <w:top w:val="single" w:sz="8" w:space="0" w:color="152935"/>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.761</w:t>
            </w:r>
          </w:p>
        </w:tc>
      </w:tr>
      <w:tr w:rsidR="00392474" w:rsidRPr="002E439F" w:rsidTr="00392474">
        <w:trPr>
          <w:gridAfter w:val="1"/>
          <w:wAfter w:w="507" w:type="dxa"/>
          <w:cantSplit/>
          <w:trHeight w:val="135"/>
        </w:trPr>
        <w:tc>
          <w:tcPr>
            <w:tcW w:w="160" w:type="dxa"/>
            <w:vMerge/>
            <w:tcBorders>
              <w:top w:val="single" w:sz="8" w:space="0" w:color="152935"/>
              <w:left w:val="nil"/>
              <w:bottom w:val="single" w:sz="8" w:space="0" w:color="152935"/>
              <w:right w:val="nil"/>
            </w:tcBorders>
            <w:shd w:val="clear" w:color="auto" w:fill="E0E0E0"/>
          </w:tcPr>
          <w:p w:rsidR="00392474" w:rsidRPr="002E439F" w:rsidRDefault="00392474" w:rsidP="007C1316">
            <w:pPr>
              <w:autoSpaceDE w:val="0"/>
              <w:autoSpaceDN w:val="0"/>
              <w:adjustRightInd w:val="0"/>
              <w:spacing w:after="0" w:line="240" w:lineRule="auto"/>
              <w:rPr>
                <w:rFonts w:ascii="Times New Roman" w:hAnsi="Times New Roman" w:cs="Times New Roman"/>
                <w:sz w:val="24"/>
                <w:szCs w:val="24"/>
              </w:rPr>
            </w:pPr>
          </w:p>
        </w:tc>
        <w:tc>
          <w:tcPr>
            <w:tcW w:w="1102" w:type="dxa"/>
            <w:tcBorders>
              <w:top w:val="single" w:sz="8" w:space="0" w:color="AEAEAE"/>
              <w:left w:val="nil"/>
              <w:bottom w:val="single" w:sz="8" w:space="0" w:color="AEAEAE"/>
              <w:right w:val="nil"/>
            </w:tcBorders>
            <w:shd w:val="clear" w:color="auto" w:fill="E0E0E0"/>
          </w:tcPr>
          <w:p w:rsidR="00392474" w:rsidRPr="002E439F" w:rsidRDefault="00392474" w:rsidP="007C1316">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KPR</w:t>
            </w:r>
          </w:p>
        </w:tc>
        <w:tc>
          <w:tcPr>
            <w:tcW w:w="1245" w:type="dxa"/>
            <w:tcBorders>
              <w:top w:val="single" w:sz="8" w:space="0" w:color="AEAEAE"/>
              <w:left w:val="nil"/>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-.191</w:t>
            </w:r>
          </w:p>
        </w:tc>
        <w:tc>
          <w:tcPr>
            <w:tcW w:w="1245" w:type="dxa"/>
            <w:tcBorders>
              <w:top w:val="single" w:sz="8" w:space="0" w:color="AEAEAE"/>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.485</w:t>
            </w:r>
          </w:p>
        </w:tc>
        <w:tc>
          <w:tcPr>
            <w:tcW w:w="1373" w:type="dxa"/>
            <w:tcBorders>
              <w:top w:val="single" w:sz="8" w:space="0" w:color="AEAEAE"/>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-.236</w:t>
            </w:r>
          </w:p>
        </w:tc>
        <w:tc>
          <w:tcPr>
            <w:tcW w:w="958" w:type="dxa"/>
            <w:tcBorders>
              <w:top w:val="single" w:sz="8" w:space="0" w:color="AEAEAE"/>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-.394</w:t>
            </w:r>
          </w:p>
        </w:tc>
        <w:tc>
          <w:tcPr>
            <w:tcW w:w="2467" w:type="dxa"/>
            <w:tcBorders>
              <w:top w:val="single" w:sz="8" w:space="0" w:color="AEAEAE"/>
              <w:left w:val="single" w:sz="8" w:space="0" w:color="E0E0E0"/>
              <w:bottom w:val="single" w:sz="8" w:space="0" w:color="AEAEAE"/>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.720</w:t>
            </w:r>
          </w:p>
        </w:tc>
      </w:tr>
      <w:tr w:rsidR="00392474" w:rsidRPr="002E439F" w:rsidTr="00392474">
        <w:trPr>
          <w:gridAfter w:val="1"/>
          <w:wAfter w:w="507" w:type="dxa"/>
          <w:cantSplit/>
          <w:trHeight w:val="135"/>
        </w:trPr>
        <w:tc>
          <w:tcPr>
            <w:tcW w:w="160" w:type="dxa"/>
            <w:vMerge/>
            <w:tcBorders>
              <w:top w:val="single" w:sz="8" w:space="0" w:color="152935"/>
              <w:left w:val="nil"/>
              <w:bottom w:val="single" w:sz="8" w:space="0" w:color="152935"/>
              <w:right w:val="nil"/>
            </w:tcBorders>
            <w:shd w:val="clear" w:color="auto" w:fill="E0E0E0"/>
          </w:tcPr>
          <w:p w:rsidR="00392474" w:rsidRPr="002E439F" w:rsidRDefault="00392474" w:rsidP="007C1316">
            <w:pPr>
              <w:autoSpaceDE w:val="0"/>
              <w:autoSpaceDN w:val="0"/>
              <w:adjustRightInd w:val="0"/>
              <w:spacing w:after="0" w:line="240" w:lineRule="auto"/>
              <w:rPr>
                <w:rFonts w:ascii="Arial" w:hAnsi="Arial" w:cs="Arial"/>
                <w:color w:val="010205"/>
                <w:sz w:val="18"/>
                <w:szCs w:val="18"/>
              </w:rPr>
            </w:pPr>
          </w:p>
        </w:tc>
        <w:tc>
          <w:tcPr>
            <w:tcW w:w="1102" w:type="dxa"/>
            <w:tcBorders>
              <w:top w:val="single" w:sz="8" w:space="0" w:color="AEAEAE"/>
              <w:left w:val="nil"/>
              <w:bottom w:val="single" w:sz="8" w:space="0" w:color="152935"/>
              <w:right w:val="nil"/>
            </w:tcBorders>
            <w:shd w:val="clear" w:color="auto" w:fill="E0E0E0"/>
          </w:tcPr>
          <w:p w:rsidR="00392474" w:rsidRPr="002E439F" w:rsidRDefault="00392474" w:rsidP="007C1316">
            <w:pPr>
              <w:autoSpaceDE w:val="0"/>
              <w:autoSpaceDN w:val="0"/>
              <w:adjustRightInd w:val="0"/>
              <w:spacing w:after="0" w:line="320" w:lineRule="atLeast"/>
              <w:ind w:left="60" w:right="60"/>
              <w:rPr>
                <w:rFonts w:ascii="Arial" w:hAnsi="Arial" w:cs="Arial"/>
                <w:color w:val="264A60"/>
                <w:sz w:val="18"/>
                <w:szCs w:val="18"/>
              </w:rPr>
            </w:pPr>
            <w:r>
              <w:rPr>
                <w:rFonts w:ascii="Arial" w:hAnsi="Arial" w:cs="Arial"/>
                <w:color w:val="264A60"/>
                <w:sz w:val="18"/>
                <w:szCs w:val="18"/>
              </w:rPr>
              <w:t>NPF</w:t>
            </w:r>
          </w:p>
        </w:tc>
        <w:tc>
          <w:tcPr>
            <w:tcW w:w="1245" w:type="dxa"/>
            <w:tcBorders>
              <w:top w:val="single" w:sz="8" w:space="0" w:color="AEAEAE"/>
              <w:left w:val="nil"/>
              <w:bottom w:val="single" w:sz="8" w:space="0" w:color="152935"/>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-.174</w:t>
            </w:r>
          </w:p>
        </w:tc>
        <w:tc>
          <w:tcPr>
            <w:tcW w:w="1245" w:type="dxa"/>
            <w:tcBorders>
              <w:top w:val="single" w:sz="8" w:space="0" w:color="AEAEAE"/>
              <w:left w:val="single" w:sz="8" w:space="0" w:color="E0E0E0"/>
              <w:bottom w:val="single" w:sz="8" w:space="0" w:color="152935"/>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.190</w:t>
            </w:r>
          </w:p>
        </w:tc>
        <w:tc>
          <w:tcPr>
            <w:tcW w:w="1373" w:type="dxa"/>
            <w:tcBorders>
              <w:top w:val="single" w:sz="8" w:space="0" w:color="AEAEAE"/>
              <w:left w:val="single" w:sz="8" w:space="0" w:color="E0E0E0"/>
              <w:bottom w:val="single" w:sz="8" w:space="0" w:color="152935"/>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-.548</w:t>
            </w:r>
          </w:p>
        </w:tc>
        <w:tc>
          <w:tcPr>
            <w:tcW w:w="958" w:type="dxa"/>
            <w:tcBorders>
              <w:top w:val="single" w:sz="8" w:space="0" w:color="AEAEAE"/>
              <w:left w:val="single" w:sz="8" w:space="0" w:color="E0E0E0"/>
              <w:bottom w:val="single" w:sz="8" w:space="0" w:color="152935"/>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-.916</w:t>
            </w:r>
          </w:p>
        </w:tc>
        <w:tc>
          <w:tcPr>
            <w:tcW w:w="2467" w:type="dxa"/>
            <w:tcBorders>
              <w:top w:val="single" w:sz="8" w:space="0" w:color="AEAEAE"/>
              <w:left w:val="single" w:sz="8" w:space="0" w:color="E0E0E0"/>
              <w:bottom w:val="single" w:sz="8" w:space="0" w:color="152935"/>
              <w:right w:val="single" w:sz="8" w:space="0" w:color="E0E0E0"/>
            </w:tcBorders>
            <w:shd w:val="clear" w:color="auto" w:fill="FFFFFF"/>
          </w:tcPr>
          <w:p w:rsidR="00392474" w:rsidRPr="002E439F" w:rsidRDefault="00392474" w:rsidP="007C1316">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.427</w:t>
            </w:r>
          </w:p>
        </w:tc>
      </w:tr>
      <w:tr w:rsidR="00392474" w:rsidRPr="002E439F" w:rsidTr="00392474">
        <w:trPr>
          <w:cantSplit/>
          <w:trHeight w:val="102"/>
        </w:trPr>
        <w:tc>
          <w:tcPr>
            <w:tcW w:w="9057" w:type="dxa"/>
            <w:gridSpan w:val="8"/>
            <w:tcBorders>
              <w:top w:val="nil"/>
              <w:left w:val="nil"/>
              <w:bottom w:val="nil"/>
              <w:right w:val="nil"/>
            </w:tcBorders>
            <w:shd w:val="clear" w:color="auto" w:fill="FFFFFF"/>
          </w:tcPr>
          <w:p w:rsidR="00392474" w:rsidRPr="00CA0931" w:rsidRDefault="00392474" w:rsidP="00CA0931">
            <w:pPr>
              <w:pStyle w:val="ListParagraph"/>
              <w:numPr>
                <w:ilvl w:val="0"/>
                <w:numId w:val="8"/>
              </w:numPr>
              <w:autoSpaceDE w:val="0"/>
              <w:autoSpaceDN w:val="0"/>
              <w:adjustRightInd w:val="0"/>
              <w:spacing w:after="0" w:line="320" w:lineRule="atLeast"/>
              <w:ind w:right="60"/>
              <w:rPr>
                <w:rFonts w:ascii="Arial" w:hAnsi="Arial" w:cs="Arial"/>
                <w:color w:val="010205"/>
                <w:sz w:val="18"/>
                <w:szCs w:val="18"/>
                <w:lang w:val="en-US"/>
              </w:rPr>
            </w:pPr>
            <w:r w:rsidRPr="00CA0931">
              <w:rPr>
                <w:rFonts w:ascii="Arial" w:hAnsi="Arial" w:cs="Arial"/>
                <w:color w:val="010205"/>
                <w:sz w:val="18"/>
                <w:szCs w:val="18"/>
              </w:rPr>
              <w:t>Dependent Variable: ROA</w:t>
            </w:r>
          </w:p>
          <w:p w:rsidR="00CA0931" w:rsidRDefault="00CA0931" w:rsidP="00CA0931">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t>Sumber : SPSS 25 data sekunder,2018</w:t>
            </w:r>
          </w:p>
          <w:p w:rsidR="00CA0931" w:rsidRPr="00CA0931" w:rsidRDefault="00CA0931" w:rsidP="00CA0931">
            <w:pPr>
              <w:autoSpaceDE w:val="0"/>
              <w:autoSpaceDN w:val="0"/>
              <w:adjustRightInd w:val="0"/>
              <w:spacing w:after="0" w:line="320" w:lineRule="atLeast"/>
              <w:ind w:left="60" w:right="60"/>
              <w:rPr>
                <w:rFonts w:ascii="Arial" w:hAnsi="Arial" w:cs="Arial"/>
                <w:color w:val="010205"/>
                <w:sz w:val="18"/>
                <w:szCs w:val="18"/>
                <w:lang w:val="en-US"/>
              </w:rPr>
            </w:pPr>
          </w:p>
        </w:tc>
      </w:tr>
    </w:tbl>
    <w:p w:rsidR="00392474" w:rsidRPr="00392474" w:rsidRDefault="00392474" w:rsidP="00C23C31">
      <w:pPr>
        <w:autoSpaceDE w:val="0"/>
        <w:autoSpaceDN w:val="0"/>
        <w:adjustRightInd w:val="0"/>
        <w:spacing w:after="0" w:line="480" w:lineRule="auto"/>
        <w:jc w:val="both"/>
        <w:rPr>
          <w:rFonts w:ascii="Times New Roman" w:hAnsi="Times New Roman" w:cs="Times New Roman"/>
          <w:sz w:val="24"/>
          <w:szCs w:val="24"/>
          <w:lang w:val="en-US"/>
        </w:rPr>
      </w:pPr>
    </w:p>
    <w:p w:rsidR="00C23C31" w:rsidRDefault="003F1BD1" w:rsidP="00C23C31">
      <w:pPr>
        <w:autoSpaceDE w:val="0"/>
        <w:autoSpaceDN w:val="0"/>
        <w:adjustRightInd w:val="0"/>
        <w:spacing w:after="0" w:line="480" w:lineRule="auto"/>
        <w:jc w:val="both"/>
        <w:rPr>
          <w:rFonts w:ascii="Times New Roman" w:hAnsi="Times New Roman" w:cs="Times New Roman"/>
          <w:b/>
          <w:sz w:val="24"/>
          <w:szCs w:val="24"/>
          <w:lang w:val="en-US"/>
        </w:rPr>
      </w:pPr>
      <w:r w:rsidRPr="003F1BD1">
        <w:rPr>
          <w:rFonts w:ascii="Times New Roman" w:hAnsi="Times New Roman" w:cs="Times New Roman"/>
          <w:b/>
          <w:sz w:val="24"/>
          <w:szCs w:val="24"/>
          <w:lang w:val="en-US"/>
        </w:rPr>
        <w:t>4.2.6</w:t>
      </w:r>
      <w:r>
        <w:rPr>
          <w:rFonts w:ascii="Times New Roman" w:hAnsi="Times New Roman" w:cs="Times New Roman"/>
          <w:b/>
          <w:sz w:val="24"/>
          <w:szCs w:val="24"/>
          <w:lang w:val="en-US"/>
        </w:rPr>
        <w:tab/>
        <w:t>Uji Simultan (Uji F)</w:t>
      </w:r>
    </w:p>
    <w:p w:rsidR="00CA0931" w:rsidRPr="00CA0931" w:rsidRDefault="003F1BD1" w:rsidP="00C23C31">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Uji F</w:t>
      </w:r>
      <w:r w:rsidR="005B7D54">
        <w:rPr>
          <w:rFonts w:ascii="Times New Roman" w:hAnsi="Times New Roman" w:cs="Times New Roman"/>
          <w:sz w:val="24"/>
          <w:szCs w:val="24"/>
          <w:lang w:val="en-US"/>
        </w:rPr>
        <w:t xml:space="preserve"> digunakan </w:t>
      </w:r>
      <w:r w:rsidR="004A2598">
        <w:rPr>
          <w:rFonts w:ascii="Times New Roman" w:hAnsi="Times New Roman" w:cs="Times New Roman"/>
          <w:sz w:val="24"/>
          <w:szCs w:val="24"/>
          <w:lang w:val="en-US"/>
        </w:rPr>
        <w:t>untuk mengetahui signifikan koefisien korelasi berganda, menurut Sugiyono (2012:190), atau uji F bertujuan untuk mengetahui apakah pengaruh variabel X</w:t>
      </w:r>
      <w:r w:rsidR="004A2598">
        <w:rPr>
          <w:rFonts w:ascii="Times New Roman" w:hAnsi="Times New Roman" w:cs="Times New Roman"/>
          <w:sz w:val="24"/>
          <w:szCs w:val="24"/>
          <w:vertAlign w:val="subscript"/>
          <w:lang w:val="en-US"/>
        </w:rPr>
        <w:t>1</w:t>
      </w:r>
      <w:r w:rsidR="004A2598">
        <w:rPr>
          <w:rFonts w:ascii="Times New Roman" w:hAnsi="Times New Roman" w:cs="Times New Roman"/>
          <w:sz w:val="24"/>
          <w:szCs w:val="24"/>
          <w:lang w:val="en-US"/>
        </w:rPr>
        <w:t xml:space="preserve"> dan X</w:t>
      </w:r>
      <w:r w:rsidR="004A2598">
        <w:rPr>
          <w:rFonts w:ascii="Times New Roman" w:hAnsi="Times New Roman" w:cs="Times New Roman"/>
          <w:sz w:val="24"/>
          <w:szCs w:val="24"/>
          <w:vertAlign w:val="subscript"/>
          <w:lang w:val="en-US"/>
        </w:rPr>
        <w:t>2</w:t>
      </w:r>
      <w:r w:rsidR="004A2598">
        <w:rPr>
          <w:rFonts w:ascii="Times New Roman" w:hAnsi="Times New Roman" w:cs="Times New Roman"/>
          <w:sz w:val="24"/>
          <w:szCs w:val="24"/>
          <w:lang w:val="en-US"/>
        </w:rPr>
        <w:t xml:space="preserve"> </w:t>
      </w:r>
      <w:r w:rsidR="002730FC">
        <w:rPr>
          <w:rFonts w:ascii="Times New Roman" w:hAnsi="Times New Roman" w:cs="Times New Roman"/>
          <w:sz w:val="24"/>
          <w:szCs w:val="24"/>
          <w:lang w:val="en-US"/>
        </w:rPr>
        <w:t xml:space="preserve">secara simultan terhadap Y signifikan. </w:t>
      </w:r>
      <w:r w:rsidR="00CA0931">
        <w:rPr>
          <w:rFonts w:ascii="Times New Roman" w:hAnsi="Times New Roman" w:cs="Times New Roman"/>
          <w:sz w:val="24"/>
          <w:szCs w:val="24"/>
        </w:rPr>
        <w:t xml:space="preserve">Berikut ini adalah data hasil pengolahan data menggunakan </w:t>
      </w:r>
      <w:r w:rsidR="00CA0931" w:rsidRPr="00C23C31">
        <w:rPr>
          <w:rFonts w:ascii="Times New Roman" w:hAnsi="Times New Roman" w:cs="Times New Roman"/>
          <w:i/>
          <w:sz w:val="24"/>
          <w:szCs w:val="24"/>
        </w:rPr>
        <w:t>software</w:t>
      </w:r>
      <w:r w:rsidR="00CA0931">
        <w:rPr>
          <w:rFonts w:ascii="Times New Roman" w:hAnsi="Times New Roman" w:cs="Times New Roman"/>
          <w:sz w:val="24"/>
          <w:szCs w:val="24"/>
        </w:rPr>
        <w:t xml:space="preserve"> SPSS 25:</w:t>
      </w:r>
    </w:p>
    <w:p w:rsidR="00C23C31" w:rsidRPr="003F1BD1" w:rsidRDefault="003F1BD1" w:rsidP="00C23C31">
      <w:pPr>
        <w:autoSpaceDE w:val="0"/>
        <w:autoSpaceDN w:val="0"/>
        <w:adjustRightInd w:val="0"/>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4.1</w:t>
      </w:r>
      <w:r>
        <w:rPr>
          <w:rFonts w:ascii="Times New Roman" w:hAnsi="Times New Roman" w:cs="Times New Roman"/>
          <w:b/>
          <w:sz w:val="24"/>
          <w:szCs w:val="24"/>
          <w:lang w:val="en-US"/>
        </w:rPr>
        <w:t>2</w:t>
      </w:r>
    </w:p>
    <w:p w:rsidR="00C23C31" w:rsidRDefault="00C23C31" w:rsidP="00C23C3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Uji Regresi Simultan (Uji f)</w:t>
      </w:r>
    </w:p>
    <w:tbl>
      <w:tblPr>
        <w:tblW w:w="79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1287"/>
        <w:gridCol w:w="1472"/>
        <w:gridCol w:w="1027"/>
        <w:gridCol w:w="1410"/>
        <w:gridCol w:w="1027"/>
        <w:gridCol w:w="1028"/>
      </w:tblGrid>
      <w:tr w:rsidR="00FF596A" w:rsidRPr="002E439F" w:rsidTr="000F622F">
        <w:trPr>
          <w:cantSplit/>
          <w:trHeight w:val="341"/>
        </w:trPr>
        <w:tc>
          <w:tcPr>
            <w:tcW w:w="7985" w:type="dxa"/>
            <w:gridSpan w:val="7"/>
            <w:tcBorders>
              <w:top w:val="nil"/>
              <w:left w:val="nil"/>
              <w:bottom w:val="nil"/>
              <w:right w:val="nil"/>
            </w:tcBorders>
            <w:shd w:val="clear" w:color="auto" w:fill="FFFFFF"/>
            <w:vAlign w:val="center"/>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010205"/>
              </w:rPr>
            </w:pPr>
            <w:r w:rsidRPr="002E439F">
              <w:rPr>
                <w:rFonts w:ascii="Arial" w:hAnsi="Arial" w:cs="Arial"/>
                <w:b/>
                <w:bCs/>
                <w:color w:val="010205"/>
              </w:rPr>
              <w:t>ANOVA</w:t>
            </w:r>
            <w:r w:rsidRPr="002E439F">
              <w:rPr>
                <w:rFonts w:ascii="Arial" w:hAnsi="Arial" w:cs="Arial"/>
                <w:b/>
                <w:bCs/>
                <w:color w:val="010205"/>
                <w:vertAlign w:val="superscript"/>
              </w:rPr>
              <w:t>a</w:t>
            </w:r>
          </w:p>
        </w:tc>
      </w:tr>
      <w:tr w:rsidR="00FF596A" w:rsidRPr="002E439F" w:rsidTr="000F622F">
        <w:trPr>
          <w:cantSplit/>
          <w:trHeight w:val="341"/>
        </w:trPr>
        <w:tc>
          <w:tcPr>
            <w:tcW w:w="2021" w:type="dxa"/>
            <w:gridSpan w:val="2"/>
            <w:tcBorders>
              <w:top w:val="nil"/>
              <w:left w:val="nil"/>
              <w:bottom w:val="single" w:sz="8" w:space="0" w:color="152935"/>
              <w:right w:val="nil"/>
            </w:tcBorders>
            <w:shd w:val="clear" w:color="auto" w:fill="FFFFFF"/>
            <w:vAlign w:val="bottom"/>
          </w:tcPr>
          <w:p w:rsidR="00FF596A" w:rsidRPr="002E439F" w:rsidRDefault="00FF596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Model</w:t>
            </w:r>
          </w:p>
        </w:tc>
        <w:tc>
          <w:tcPr>
            <w:tcW w:w="1472" w:type="dxa"/>
            <w:tcBorders>
              <w:top w:val="nil"/>
              <w:left w:val="nil"/>
              <w:bottom w:val="single" w:sz="8" w:space="0" w:color="152935"/>
              <w:right w:val="single" w:sz="8" w:space="0" w:color="E0E0E0"/>
            </w:tcBorders>
            <w:shd w:val="clear" w:color="auto" w:fill="FFFFFF"/>
            <w:vAlign w:val="bottom"/>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Sum of Squares</w:t>
            </w:r>
          </w:p>
        </w:tc>
        <w:tc>
          <w:tcPr>
            <w:tcW w:w="1027" w:type="dxa"/>
            <w:tcBorders>
              <w:top w:val="nil"/>
              <w:left w:val="single" w:sz="8" w:space="0" w:color="E0E0E0"/>
              <w:bottom w:val="single" w:sz="8" w:space="0" w:color="152935"/>
              <w:right w:val="single" w:sz="8" w:space="0" w:color="E0E0E0"/>
            </w:tcBorders>
            <w:shd w:val="clear" w:color="auto" w:fill="FFFFFF"/>
            <w:vAlign w:val="bottom"/>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Df</w:t>
            </w:r>
          </w:p>
        </w:tc>
        <w:tc>
          <w:tcPr>
            <w:tcW w:w="1410" w:type="dxa"/>
            <w:tcBorders>
              <w:top w:val="nil"/>
              <w:left w:val="single" w:sz="8" w:space="0" w:color="E0E0E0"/>
              <w:bottom w:val="single" w:sz="8" w:space="0" w:color="152935"/>
              <w:right w:val="single" w:sz="8" w:space="0" w:color="E0E0E0"/>
            </w:tcBorders>
            <w:shd w:val="clear" w:color="auto" w:fill="FFFFFF"/>
            <w:vAlign w:val="bottom"/>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Mean Square</w:t>
            </w:r>
          </w:p>
        </w:tc>
        <w:tc>
          <w:tcPr>
            <w:tcW w:w="1027" w:type="dxa"/>
            <w:tcBorders>
              <w:top w:val="nil"/>
              <w:left w:val="single" w:sz="8" w:space="0" w:color="E0E0E0"/>
              <w:bottom w:val="single" w:sz="8" w:space="0" w:color="152935"/>
              <w:right w:val="single" w:sz="8" w:space="0" w:color="E0E0E0"/>
            </w:tcBorders>
            <w:shd w:val="clear" w:color="auto" w:fill="FFFFFF"/>
            <w:vAlign w:val="bottom"/>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F</w:t>
            </w:r>
          </w:p>
        </w:tc>
        <w:tc>
          <w:tcPr>
            <w:tcW w:w="1027" w:type="dxa"/>
            <w:tcBorders>
              <w:top w:val="nil"/>
              <w:left w:val="single" w:sz="8" w:space="0" w:color="E0E0E0"/>
              <w:bottom w:val="single" w:sz="8" w:space="0" w:color="152935"/>
              <w:right w:val="nil"/>
            </w:tcBorders>
            <w:shd w:val="clear" w:color="auto" w:fill="FFFFFF"/>
            <w:vAlign w:val="bottom"/>
          </w:tcPr>
          <w:p w:rsidR="00FF596A" w:rsidRPr="002E439F" w:rsidRDefault="00FF596A" w:rsidP="000F622F">
            <w:pPr>
              <w:autoSpaceDE w:val="0"/>
              <w:autoSpaceDN w:val="0"/>
              <w:adjustRightInd w:val="0"/>
              <w:spacing w:after="0" w:line="320" w:lineRule="atLeast"/>
              <w:ind w:left="60" w:right="60"/>
              <w:jc w:val="center"/>
              <w:rPr>
                <w:rFonts w:ascii="Arial" w:hAnsi="Arial" w:cs="Arial"/>
                <w:color w:val="264A60"/>
                <w:sz w:val="18"/>
                <w:szCs w:val="18"/>
              </w:rPr>
            </w:pPr>
            <w:r w:rsidRPr="002E439F">
              <w:rPr>
                <w:rFonts w:ascii="Arial" w:hAnsi="Arial" w:cs="Arial"/>
                <w:color w:val="264A60"/>
                <w:sz w:val="18"/>
                <w:szCs w:val="18"/>
              </w:rPr>
              <w:t>Sig.</w:t>
            </w:r>
          </w:p>
        </w:tc>
      </w:tr>
      <w:tr w:rsidR="00FF596A" w:rsidRPr="002E439F" w:rsidTr="000F622F">
        <w:trPr>
          <w:cantSplit/>
          <w:trHeight w:val="357"/>
        </w:trPr>
        <w:tc>
          <w:tcPr>
            <w:tcW w:w="734" w:type="dxa"/>
            <w:vMerge w:val="restart"/>
            <w:tcBorders>
              <w:top w:val="single" w:sz="8" w:space="0" w:color="152935"/>
              <w:left w:val="nil"/>
              <w:bottom w:val="single" w:sz="8" w:space="0" w:color="152935"/>
              <w:right w:val="nil"/>
            </w:tcBorders>
            <w:shd w:val="clear" w:color="auto" w:fill="E0E0E0"/>
          </w:tcPr>
          <w:p w:rsidR="00FF596A" w:rsidRPr="002E439F" w:rsidRDefault="00FF596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1</w:t>
            </w:r>
          </w:p>
        </w:tc>
        <w:tc>
          <w:tcPr>
            <w:tcW w:w="1286" w:type="dxa"/>
            <w:tcBorders>
              <w:top w:val="single" w:sz="8" w:space="0" w:color="152935"/>
              <w:left w:val="nil"/>
              <w:bottom w:val="single" w:sz="8" w:space="0" w:color="AEAEAE"/>
              <w:right w:val="nil"/>
            </w:tcBorders>
            <w:shd w:val="clear" w:color="auto" w:fill="E0E0E0"/>
          </w:tcPr>
          <w:p w:rsidR="00FF596A" w:rsidRPr="002E439F" w:rsidRDefault="00FF596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Regression</w:t>
            </w:r>
          </w:p>
        </w:tc>
        <w:tc>
          <w:tcPr>
            <w:tcW w:w="1472" w:type="dxa"/>
            <w:tcBorders>
              <w:top w:val="single" w:sz="8" w:space="0" w:color="152935"/>
              <w:left w:val="nil"/>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.152</w:t>
            </w:r>
          </w:p>
        </w:tc>
        <w:tc>
          <w:tcPr>
            <w:tcW w:w="1027" w:type="dxa"/>
            <w:tcBorders>
              <w:top w:val="single" w:sz="8" w:space="0" w:color="152935"/>
              <w:left w:val="single" w:sz="8" w:space="0" w:color="E0E0E0"/>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w:t>
            </w:r>
          </w:p>
        </w:tc>
        <w:tc>
          <w:tcPr>
            <w:tcW w:w="1410" w:type="dxa"/>
            <w:tcBorders>
              <w:top w:val="single" w:sz="8" w:space="0" w:color="152935"/>
              <w:left w:val="single" w:sz="8" w:space="0" w:color="E0E0E0"/>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.076</w:t>
            </w:r>
          </w:p>
        </w:tc>
        <w:tc>
          <w:tcPr>
            <w:tcW w:w="1027" w:type="dxa"/>
            <w:tcBorders>
              <w:top w:val="single" w:sz="8" w:space="0" w:color="152935"/>
              <w:left w:val="single" w:sz="8" w:space="0" w:color="E0E0E0"/>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1.858</w:t>
            </w:r>
          </w:p>
        </w:tc>
        <w:tc>
          <w:tcPr>
            <w:tcW w:w="1027" w:type="dxa"/>
            <w:tcBorders>
              <w:top w:val="single" w:sz="8" w:space="0" w:color="152935"/>
              <w:left w:val="single" w:sz="8" w:space="0" w:color="E0E0E0"/>
              <w:bottom w:val="single" w:sz="8" w:space="0" w:color="AEAEAE"/>
              <w:right w:val="nil"/>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.299</w:t>
            </w:r>
            <w:r w:rsidRPr="002E439F">
              <w:rPr>
                <w:rFonts w:ascii="Arial" w:hAnsi="Arial" w:cs="Arial"/>
                <w:color w:val="010205"/>
                <w:sz w:val="18"/>
                <w:szCs w:val="18"/>
                <w:vertAlign w:val="superscript"/>
              </w:rPr>
              <w:t>b</w:t>
            </w:r>
          </w:p>
        </w:tc>
      </w:tr>
      <w:tr w:rsidR="00FF596A" w:rsidRPr="002E439F" w:rsidTr="000F622F">
        <w:trPr>
          <w:cantSplit/>
          <w:trHeight w:val="156"/>
        </w:trPr>
        <w:tc>
          <w:tcPr>
            <w:tcW w:w="734" w:type="dxa"/>
            <w:vMerge/>
            <w:tcBorders>
              <w:top w:val="single" w:sz="8" w:space="0" w:color="152935"/>
              <w:left w:val="nil"/>
              <w:bottom w:val="single" w:sz="8" w:space="0" w:color="152935"/>
              <w:right w:val="nil"/>
            </w:tcBorders>
            <w:shd w:val="clear" w:color="auto" w:fill="E0E0E0"/>
          </w:tcPr>
          <w:p w:rsidR="00FF596A" w:rsidRPr="002E439F" w:rsidRDefault="00FF596A" w:rsidP="000F622F">
            <w:pPr>
              <w:autoSpaceDE w:val="0"/>
              <w:autoSpaceDN w:val="0"/>
              <w:adjustRightInd w:val="0"/>
              <w:spacing w:after="0" w:line="240" w:lineRule="auto"/>
              <w:rPr>
                <w:rFonts w:ascii="Arial" w:hAnsi="Arial" w:cs="Arial"/>
                <w:color w:val="010205"/>
                <w:sz w:val="18"/>
                <w:szCs w:val="18"/>
              </w:rPr>
            </w:pPr>
          </w:p>
        </w:tc>
        <w:tc>
          <w:tcPr>
            <w:tcW w:w="1286" w:type="dxa"/>
            <w:tcBorders>
              <w:top w:val="single" w:sz="8" w:space="0" w:color="AEAEAE"/>
              <w:left w:val="nil"/>
              <w:bottom w:val="single" w:sz="8" w:space="0" w:color="AEAEAE"/>
              <w:right w:val="nil"/>
            </w:tcBorders>
            <w:shd w:val="clear" w:color="auto" w:fill="E0E0E0"/>
          </w:tcPr>
          <w:p w:rsidR="00FF596A" w:rsidRPr="002E439F" w:rsidRDefault="00FF596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Residual</w:t>
            </w:r>
          </w:p>
        </w:tc>
        <w:tc>
          <w:tcPr>
            <w:tcW w:w="1472" w:type="dxa"/>
            <w:tcBorders>
              <w:top w:val="single" w:sz="8" w:space="0" w:color="AEAEAE"/>
              <w:left w:val="nil"/>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.123</w:t>
            </w:r>
          </w:p>
        </w:tc>
        <w:tc>
          <w:tcPr>
            <w:tcW w:w="1027" w:type="dxa"/>
            <w:tcBorders>
              <w:top w:val="single" w:sz="8" w:space="0" w:color="AEAEAE"/>
              <w:left w:val="single" w:sz="8" w:space="0" w:color="E0E0E0"/>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.041</w:t>
            </w:r>
          </w:p>
        </w:tc>
        <w:tc>
          <w:tcPr>
            <w:tcW w:w="1027"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AEAEAE"/>
              <w:right w:val="nil"/>
            </w:tcBorders>
            <w:shd w:val="clear" w:color="auto" w:fill="FFFFFF"/>
            <w:vAlign w:val="center"/>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r>
      <w:tr w:rsidR="00FF596A" w:rsidRPr="002E439F" w:rsidTr="000F622F">
        <w:trPr>
          <w:cantSplit/>
          <w:trHeight w:val="156"/>
        </w:trPr>
        <w:tc>
          <w:tcPr>
            <w:tcW w:w="734" w:type="dxa"/>
            <w:vMerge/>
            <w:tcBorders>
              <w:top w:val="single" w:sz="8" w:space="0" w:color="152935"/>
              <w:left w:val="nil"/>
              <w:bottom w:val="single" w:sz="8" w:space="0" w:color="152935"/>
              <w:right w:val="nil"/>
            </w:tcBorders>
            <w:shd w:val="clear" w:color="auto" w:fill="E0E0E0"/>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c>
          <w:tcPr>
            <w:tcW w:w="1286" w:type="dxa"/>
            <w:tcBorders>
              <w:top w:val="single" w:sz="8" w:space="0" w:color="AEAEAE"/>
              <w:left w:val="nil"/>
              <w:bottom w:val="single" w:sz="8" w:space="0" w:color="152935"/>
              <w:right w:val="nil"/>
            </w:tcBorders>
            <w:shd w:val="clear" w:color="auto" w:fill="E0E0E0"/>
          </w:tcPr>
          <w:p w:rsidR="00FF596A" w:rsidRPr="002E439F" w:rsidRDefault="00FF596A" w:rsidP="000F622F">
            <w:pPr>
              <w:autoSpaceDE w:val="0"/>
              <w:autoSpaceDN w:val="0"/>
              <w:adjustRightInd w:val="0"/>
              <w:spacing w:after="0" w:line="320" w:lineRule="atLeast"/>
              <w:ind w:left="60" w:right="60"/>
              <w:rPr>
                <w:rFonts w:ascii="Arial" w:hAnsi="Arial" w:cs="Arial"/>
                <w:color w:val="264A60"/>
                <w:sz w:val="18"/>
                <w:szCs w:val="18"/>
              </w:rPr>
            </w:pPr>
            <w:r w:rsidRPr="002E439F">
              <w:rPr>
                <w:rFonts w:ascii="Arial" w:hAnsi="Arial" w:cs="Arial"/>
                <w:color w:val="264A60"/>
                <w:sz w:val="18"/>
                <w:szCs w:val="18"/>
              </w:rPr>
              <w:t>Total</w:t>
            </w:r>
          </w:p>
        </w:tc>
        <w:tc>
          <w:tcPr>
            <w:tcW w:w="1472" w:type="dxa"/>
            <w:tcBorders>
              <w:top w:val="single" w:sz="8" w:space="0" w:color="AEAEAE"/>
              <w:left w:val="nil"/>
              <w:bottom w:val="single" w:sz="8" w:space="0" w:color="152935"/>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.274</w:t>
            </w:r>
          </w:p>
        </w:tc>
        <w:tc>
          <w:tcPr>
            <w:tcW w:w="1027" w:type="dxa"/>
            <w:tcBorders>
              <w:top w:val="single" w:sz="8" w:space="0" w:color="AEAEAE"/>
              <w:left w:val="single" w:sz="8" w:space="0" w:color="E0E0E0"/>
              <w:bottom w:val="single" w:sz="8" w:space="0" w:color="152935"/>
              <w:right w:val="single" w:sz="8" w:space="0" w:color="E0E0E0"/>
            </w:tcBorders>
            <w:shd w:val="clear" w:color="auto" w:fill="FFFFFF"/>
          </w:tcPr>
          <w:p w:rsidR="00FF596A" w:rsidRPr="002E439F" w:rsidRDefault="00FF596A" w:rsidP="000F622F">
            <w:pPr>
              <w:autoSpaceDE w:val="0"/>
              <w:autoSpaceDN w:val="0"/>
              <w:adjustRightInd w:val="0"/>
              <w:spacing w:after="0" w:line="320" w:lineRule="atLeast"/>
              <w:ind w:left="60" w:right="60"/>
              <w:jc w:val="right"/>
              <w:rPr>
                <w:rFonts w:ascii="Arial" w:hAnsi="Arial" w:cs="Arial"/>
                <w:color w:val="010205"/>
                <w:sz w:val="18"/>
                <w:szCs w:val="18"/>
              </w:rPr>
            </w:pPr>
            <w:r w:rsidRPr="002E439F">
              <w:rPr>
                <w:rFonts w:ascii="Arial" w:hAnsi="Arial" w:cs="Arial"/>
                <w:color w:val="010205"/>
                <w:sz w:val="18"/>
                <w:szCs w:val="18"/>
              </w:rPr>
              <w:t>5</w:t>
            </w:r>
          </w:p>
        </w:tc>
        <w:tc>
          <w:tcPr>
            <w:tcW w:w="1410"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c>
          <w:tcPr>
            <w:tcW w:w="1027" w:type="dxa"/>
            <w:tcBorders>
              <w:top w:val="single" w:sz="8" w:space="0" w:color="AEAEAE"/>
              <w:left w:val="single" w:sz="8" w:space="0" w:color="E0E0E0"/>
              <w:bottom w:val="single" w:sz="8" w:space="0" w:color="152935"/>
              <w:right w:val="nil"/>
            </w:tcBorders>
            <w:shd w:val="clear" w:color="auto" w:fill="FFFFFF"/>
            <w:vAlign w:val="center"/>
          </w:tcPr>
          <w:p w:rsidR="00FF596A" w:rsidRPr="002E439F" w:rsidRDefault="00FF596A" w:rsidP="000F622F">
            <w:pPr>
              <w:autoSpaceDE w:val="0"/>
              <w:autoSpaceDN w:val="0"/>
              <w:adjustRightInd w:val="0"/>
              <w:spacing w:after="0" w:line="240" w:lineRule="auto"/>
              <w:rPr>
                <w:rFonts w:ascii="Times New Roman" w:hAnsi="Times New Roman" w:cs="Times New Roman"/>
                <w:sz w:val="24"/>
                <w:szCs w:val="24"/>
              </w:rPr>
            </w:pPr>
          </w:p>
        </w:tc>
      </w:tr>
      <w:tr w:rsidR="00FF596A" w:rsidRPr="002E439F" w:rsidTr="000F622F">
        <w:trPr>
          <w:cantSplit/>
          <w:trHeight w:val="357"/>
        </w:trPr>
        <w:tc>
          <w:tcPr>
            <w:tcW w:w="7985" w:type="dxa"/>
            <w:gridSpan w:val="7"/>
            <w:tcBorders>
              <w:top w:val="nil"/>
              <w:left w:val="nil"/>
              <w:bottom w:val="nil"/>
              <w:right w:val="nil"/>
            </w:tcBorders>
            <w:shd w:val="clear" w:color="auto" w:fill="FFFFFF"/>
          </w:tcPr>
          <w:p w:rsidR="00FF596A" w:rsidRPr="002E439F" w:rsidRDefault="00FF596A" w:rsidP="000F622F">
            <w:pPr>
              <w:autoSpaceDE w:val="0"/>
              <w:autoSpaceDN w:val="0"/>
              <w:adjustRightInd w:val="0"/>
              <w:spacing w:after="0" w:line="320" w:lineRule="atLeast"/>
              <w:ind w:left="60" w:right="60"/>
              <w:rPr>
                <w:rFonts w:ascii="Arial" w:hAnsi="Arial" w:cs="Arial"/>
                <w:color w:val="010205"/>
                <w:sz w:val="18"/>
                <w:szCs w:val="18"/>
              </w:rPr>
            </w:pPr>
            <w:r w:rsidRPr="002E439F">
              <w:rPr>
                <w:rFonts w:ascii="Arial" w:hAnsi="Arial" w:cs="Arial"/>
                <w:color w:val="010205"/>
                <w:sz w:val="18"/>
                <w:szCs w:val="18"/>
              </w:rPr>
              <w:t>a. Dependent Variable: Y</w:t>
            </w:r>
          </w:p>
        </w:tc>
      </w:tr>
      <w:tr w:rsidR="00FF596A" w:rsidRPr="002E439F" w:rsidTr="000F622F">
        <w:trPr>
          <w:cantSplit/>
          <w:trHeight w:val="341"/>
        </w:trPr>
        <w:tc>
          <w:tcPr>
            <w:tcW w:w="7985" w:type="dxa"/>
            <w:gridSpan w:val="7"/>
            <w:tcBorders>
              <w:top w:val="nil"/>
              <w:left w:val="nil"/>
              <w:bottom w:val="nil"/>
              <w:right w:val="nil"/>
            </w:tcBorders>
            <w:shd w:val="clear" w:color="auto" w:fill="FFFFFF"/>
          </w:tcPr>
          <w:p w:rsidR="00FF596A" w:rsidRPr="002E439F" w:rsidRDefault="00FF596A" w:rsidP="000F622F">
            <w:pPr>
              <w:autoSpaceDE w:val="0"/>
              <w:autoSpaceDN w:val="0"/>
              <w:adjustRightInd w:val="0"/>
              <w:spacing w:after="0" w:line="320" w:lineRule="atLeast"/>
              <w:ind w:left="60" w:right="60"/>
              <w:rPr>
                <w:rFonts w:ascii="Arial" w:hAnsi="Arial" w:cs="Arial"/>
                <w:color w:val="010205"/>
                <w:sz w:val="18"/>
                <w:szCs w:val="18"/>
              </w:rPr>
            </w:pPr>
            <w:r w:rsidRPr="002E439F">
              <w:rPr>
                <w:rFonts w:ascii="Arial" w:hAnsi="Arial" w:cs="Arial"/>
                <w:color w:val="010205"/>
                <w:sz w:val="18"/>
                <w:szCs w:val="18"/>
              </w:rPr>
              <w:t>b. Predictors: (Constant), X2, X1</w:t>
            </w:r>
          </w:p>
        </w:tc>
      </w:tr>
    </w:tbl>
    <w:p w:rsidR="001022F5" w:rsidRDefault="00EB7B1E" w:rsidP="00EB7B1E">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t>Sumber : SPSS 25 data sekunder,2018</w:t>
      </w:r>
    </w:p>
    <w:p w:rsidR="00EB7B1E" w:rsidRDefault="00EB7B1E" w:rsidP="00AA60AA">
      <w:pPr>
        <w:autoSpaceDE w:val="0"/>
        <w:autoSpaceDN w:val="0"/>
        <w:adjustRightInd w:val="0"/>
        <w:spacing w:after="0" w:line="480" w:lineRule="auto"/>
        <w:ind w:firstLine="720"/>
        <w:jc w:val="both"/>
        <w:rPr>
          <w:rFonts w:ascii="Times New Roman" w:hAnsi="Times New Roman" w:cs="Times New Roman"/>
          <w:color w:val="010205"/>
          <w:sz w:val="24"/>
          <w:szCs w:val="24"/>
        </w:rPr>
      </w:pPr>
      <w:r>
        <w:rPr>
          <w:rFonts w:ascii="Times New Roman" w:hAnsi="Times New Roman" w:cs="Times New Roman"/>
          <w:color w:val="010205"/>
          <w:sz w:val="24"/>
          <w:szCs w:val="24"/>
        </w:rPr>
        <w:t>Melihat hasil dari pengolahan tabel 4.11 diatas dapat didapatkan F</w:t>
      </w:r>
      <w:r>
        <w:rPr>
          <w:rFonts w:ascii="Times New Roman" w:hAnsi="Times New Roman" w:cs="Times New Roman"/>
          <w:color w:val="010205"/>
          <w:sz w:val="24"/>
          <w:szCs w:val="24"/>
          <w:vertAlign w:val="subscript"/>
        </w:rPr>
        <w:t xml:space="preserve">hitung </w:t>
      </w:r>
      <w:r>
        <w:rPr>
          <w:rFonts w:ascii="Times New Roman" w:hAnsi="Times New Roman" w:cs="Times New Roman"/>
          <w:color w:val="010205"/>
          <w:sz w:val="24"/>
          <w:szCs w:val="24"/>
        </w:rPr>
        <w:t>sebesar 1,858 dengan tingkat signifikansi 0,299. Dengan mengambil taraf signifikansi 5% (0,05) maka F</w:t>
      </w:r>
      <w:r>
        <w:rPr>
          <w:rFonts w:ascii="Times New Roman" w:hAnsi="Times New Roman" w:cs="Times New Roman"/>
          <w:color w:val="010205"/>
          <w:sz w:val="24"/>
          <w:szCs w:val="24"/>
          <w:vertAlign w:val="subscript"/>
        </w:rPr>
        <w:t>tabel</w:t>
      </w:r>
      <w:r>
        <w:rPr>
          <w:rFonts w:ascii="Times New Roman" w:hAnsi="Times New Roman" w:cs="Times New Roman"/>
          <w:color w:val="010205"/>
          <w:sz w:val="24"/>
          <w:szCs w:val="24"/>
        </w:rPr>
        <w:t xml:space="preserve"> se</w:t>
      </w:r>
      <w:bookmarkStart w:id="2" w:name="_GoBack"/>
      <w:bookmarkEnd w:id="2"/>
      <w:r>
        <w:rPr>
          <w:rFonts w:ascii="Times New Roman" w:hAnsi="Times New Roman" w:cs="Times New Roman"/>
          <w:color w:val="010205"/>
          <w:sz w:val="24"/>
          <w:szCs w:val="24"/>
        </w:rPr>
        <w:t>besar 19,00 sehingga F</w:t>
      </w:r>
      <w:r>
        <w:rPr>
          <w:rFonts w:ascii="Times New Roman" w:hAnsi="Times New Roman" w:cs="Times New Roman"/>
          <w:color w:val="010205"/>
          <w:sz w:val="24"/>
          <w:szCs w:val="24"/>
          <w:vertAlign w:val="subscript"/>
        </w:rPr>
        <w:t>hitung</w:t>
      </w:r>
      <w:r>
        <w:rPr>
          <w:rFonts w:ascii="Times New Roman" w:hAnsi="Times New Roman" w:cs="Times New Roman"/>
          <w:color w:val="010205"/>
          <w:sz w:val="24"/>
          <w:szCs w:val="24"/>
        </w:rPr>
        <w:t xml:space="preserve"> </w:t>
      </w:r>
      <w:r>
        <w:rPr>
          <w:rFonts w:ascii="Times New Roman" w:hAnsi="Times New Roman" w:cs="Times New Roman"/>
          <w:color w:val="010205"/>
          <w:sz w:val="24"/>
          <w:szCs w:val="24"/>
          <w:u w:val="single"/>
        </w:rPr>
        <w:t xml:space="preserve">&lt; </w:t>
      </w:r>
      <w:r>
        <w:rPr>
          <w:rFonts w:ascii="Times New Roman" w:hAnsi="Times New Roman" w:cs="Times New Roman"/>
          <w:color w:val="010205"/>
          <w:sz w:val="24"/>
          <w:szCs w:val="24"/>
        </w:rPr>
        <w:t xml:space="preserve"> F</w:t>
      </w:r>
      <w:r>
        <w:rPr>
          <w:rFonts w:ascii="Times New Roman" w:hAnsi="Times New Roman" w:cs="Times New Roman"/>
          <w:color w:val="010205"/>
          <w:sz w:val="24"/>
          <w:szCs w:val="24"/>
          <w:vertAlign w:val="subscript"/>
        </w:rPr>
        <w:t xml:space="preserve">tabel </w:t>
      </w:r>
      <w:r>
        <w:rPr>
          <w:rFonts w:ascii="Times New Roman" w:hAnsi="Times New Roman" w:cs="Times New Roman"/>
          <w:color w:val="010205"/>
          <w:sz w:val="24"/>
          <w:szCs w:val="24"/>
        </w:rPr>
        <w:t xml:space="preserve">(1,858 &lt; 19,00) dengan tingkat </w:t>
      </w:r>
      <w:r>
        <w:rPr>
          <w:rFonts w:ascii="Times New Roman" w:hAnsi="Times New Roman" w:cs="Times New Roman"/>
          <w:color w:val="010205"/>
          <w:sz w:val="24"/>
          <w:szCs w:val="24"/>
        </w:rPr>
        <w:lastRenderedPageBreak/>
        <w:t>signifikansi lebih besar dari taraf signifikansi</w:t>
      </w:r>
      <w:r w:rsidR="002F4C43">
        <w:rPr>
          <w:rFonts w:ascii="Times New Roman" w:hAnsi="Times New Roman" w:cs="Times New Roman"/>
          <w:color w:val="010205"/>
          <w:sz w:val="24"/>
          <w:szCs w:val="24"/>
        </w:rPr>
        <w:t xml:space="preserve"> (0,299 &gt; 0,05). </w:t>
      </w:r>
      <w:r w:rsidR="002F4C43">
        <w:rPr>
          <w:rFonts w:ascii="Times New Roman" w:hAnsi="Times New Roman" w:cs="Times New Roman"/>
          <w:sz w:val="24"/>
          <w:szCs w:val="24"/>
        </w:rPr>
        <w:t>Oleh karena itu keputusan yang diambil adalah H</w:t>
      </w:r>
      <w:r w:rsidR="002F4C43">
        <w:rPr>
          <w:rFonts w:ascii="Times New Roman" w:hAnsi="Times New Roman" w:cs="Times New Roman"/>
          <w:sz w:val="24"/>
          <w:szCs w:val="24"/>
          <w:vertAlign w:val="subscript"/>
        </w:rPr>
        <w:t>0</w:t>
      </w:r>
      <w:r w:rsidR="002F4C43">
        <w:rPr>
          <w:rFonts w:ascii="Times New Roman" w:hAnsi="Times New Roman" w:cs="Times New Roman"/>
          <w:sz w:val="24"/>
          <w:szCs w:val="24"/>
        </w:rPr>
        <w:t xml:space="preserve"> diterima H</w:t>
      </w:r>
      <w:r w:rsidR="002F4C43">
        <w:rPr>
          <w:rFonts w:ascii="Times New Roman" w:hAnsi="Times New Roman" w:cs="Times New Roman"/>
          <w:sz w:val="24"/>
          <w:szCs w:val="24"/>
          <w:vertAlign w:val="subscript"/>
        </w:rPr>
        <w:t>1</w:t>
      </w:r>
      <w:r w:rsidR="002F4C43">
        <w:rPr>
          <w:rFonts w:ascii="Times New Roman" w:hAnsi="Times New Roman" w:cs="Times New Roman"/>
          <w:sz w:val="24"/>
          <w:szCs w:val="24"/>
        </w:rPr>
        <w:t xml:space="preserve"> ditolak yang artinya Pembiayaan Kepemilikan Rumah (KPR) </w:t>
      </w:r>
      <w:r w:rsidR="002F4C43" w:rsidRPr="005C5871">
        <w:rPr>
          <w:rFonts w:ascii="Times New Roman" w:hAnsi="Times New Roman" w:cs="Times New Roman"/>
          <w:i/>
          <w:sz w:val="24"/>
          <w:szCs w:val="24"/>
        </w:rPr>
        <w:t>Murabahah</w:t>
      </w:r>
      <w:r w:rsidR="002F4C43">
        <w:rPr>
          <w:rFonts w:ascii="Times New Roman" w:hAnsi="Times New Roman" w:cs="Times New Roman"/>
          <w:sz w:val="24"/>
          <w:szCs w:val="24"/>
        </w:rPr>
        <w:t xml:space="preserve"> secara simultan dapat disimpulkan bahwa terdapat hubungan namun tidak signifikan.</w:t>
      </w:r>
    </w:p>
    <w:p w:rsidR="00E53840" w:rsidRPr="00E53840" w:rsidRDefault="00E53840" w:rsidP="00EB7B1E">
      <w:pPr>
        <w:autoSpaceDE w:val="0"/>
        <w:autoSpaceDN w:val="0"/>
        <w:adjustRightInd w:val="0"/>
        <w:spacing w:after="0" w:line="360" w:lineRule="auto"/>
        <w:jc w:val="both"/>
        <w:rPr>
          <w:rFonts w:ascii="Times New Roman" w:hAnsi="Times New Roman" w:cs="Times New Roman"/>
          <w:color w:val="010205"/>
          <w:sz w:val="24"/>
          <w:szCs w:val="24"/>
          <w:lang w:val="en-US"/>
        </w:rPr>
      </w:pPr>
    </w:p>
    <w:p w:rsidR="00EB7B1E" w:rsidRDefault="00EB7B1E" w:rsidP="003B77E2">
      <w:pPr>
        <w:autoSpaceDE w:val="0"/>
        <w:autoSpaceDN w:val="0"/>
        <w:adjustRightInd w:val="0"/>
        <w:spacing w:after="0" w:line="480" w:lineRule="auto"/>
        <w:jc w:val="both"/>
        <w:rPr>
          <w:rFonts w:ascii="Times New Roman" w:hAnsi="Times New Roman" w:cs="Times New Roman"/>
          <w:b/>
          <w:color w:val="010205"/>
          <w:sz w:val="24"/>
          <w:szCs w:val="24"/>
        </w:rPr>
      </w:pPr>
      <w:r w:rsidRPr="00EB7B1E">
        <w:rPr>
          <w:rFonts w:ascii="Times New Roman" w:hAnsi="Times New Roman" w:cs="Times New Roman"/>
          <w:b/>
          <w:color w:val="010205"/>
          <w:sz w:val="24"/>
          <w:szCs w:val="24"/>
        </w:rPr>
        <w:t>4.3</w:t>
      </w:r>
      <w:r>
        <w:rPr>
          <w:rFonts w:ascii="Times New Roman" w:hAnsi="Times New Roman" w:cs="Times New Roman"/>
          <w:b/>
          <w:color w:val="010205"/>
          <w:sz w:val="24"/>
          <w:szCs w:val="24"/>
        </w:rPr>
        <w:tab/>
        <w:t>Pembahasan Penelitian</w:t>
      </w:r>
    </w:p>
    <w:p w:rsidR="00EB7B1E" w:rsidRDefault="00EB7B1E" w:rsidP="003B77E2">
      <w:pPr>
        <w:autoSpaceDE w:val="0"/>
        <w:autoSpaceDN w:val="0"/>
        <w:adjustRightInd w:val="0"/>
        <w:spacing w:after="0" w:line="480" w:lineRule="auto"/>
        <w:ind w:left="720" w:hanging="720"/>
        <w:jc w:val="both"/>
        <w:rPr>
          <w:rFonts w:ascii="Times New Roman" w:hAnsi="Times New Roman" w:cs="Times New Roman"/>
          <w:b/>
          <w:color w:val="010205"/>
          <w:sz w:val="24"/>
          <w:szCs w:val="24"/>
        </w:rPr>
      </w:pPr>
      <w:r>
        <w:rPr>
          <w:rFonts w:ascii="Times New Roman" w:hAnsi="Times New Roman" w:cs="Times New Roman"/>
          <w:b/>
          <w:color w:val="010205"/>
          <w:sz w:val="24"/>
          <w:szCs w:val="24"/>
        </w:rPr>
        <w:t>4.3.1</w:t>
      </w:r>
      <w:r>
        <w:rPr>
          <w:rFonts w:ascii="Times New Roman" w:hAnsi="Times New Roman" w:cs="Times New Roman"/>
          <w:b/>
          <w:color w:val="010205"/>
          <w:sz w:val="24"/>
          <w:szCs w:val="24"/>
        </w:rPr>
        <w:tab/>
        <w:t>Perkembangan Pembiayaan Kepemilikan Rumah (KPR) Murabahah dan NPF pada PT. Bank Bjb Syariah</w:t>
      </w:r>
    </w:p>
    <w:p w:rsidR="00EB7B1E" w:rsidRDefault="00EB7B1E" w:rsidP="003B77E2">
      <w:pPr>
        <w:autoSpaceDE w:val="0"/>
        <w:autoSpaceDN w:val="0"/>
        <w:adjustRightInd w:val="0"/>
        <w:spacing w:after="0" w:line="480" w:lineRule="auto"/>
        <w:ind w:firstLine="720"/>
        <w:jc w:val="both"/>
        <w:rPr>
          <w:rFonts w:ascii="Times New Roman" w:hAnsi="Times New Roman" w:cs="Times New Roman"/>
          <w:color w:val="010205"/>
          <w:sz w:val="24"/>
          <w:szCs w:val="24"/>
        </w:rPr>
      </w:pPr>
      <w:r>
        <w:rPr>
          <w:rFonts w:ascii="Times New Roman" w:hAnsi="Times New Roman" w:cs="Times New Roman"/>
          <w:color w:val="010205"/>
          <w:sz w:val="24"/>
          <w:szCs w:val="24"/>
        </w:rPr>
        <w:t xml:space="preserve">Pembiayaan Kepemilikan Rumah (KPR) </w:t>
      </w:r>
      <w:r w:rsidRPr="008817C9">
        <w:rPr>
          <w:rFonts w:ascii="Times New Roman" w:hAnsi="Times New Roman" w:cs="Times New Roman"/>
          <w:i/>
          <w:color w:val="010205"/>
          <w:sz w:val="24"/>
          <w:szCs w:val="24"/>
        </w:rPr>
        <w:t>Murabahah</w:t>
      </w:r>
      <w:r>
        <w:rPr>
          <w:rFonts w:ascii="Times New Roman" w:hAnsi="Times New Roman" w:cs="Times New Roman"/>
          <w:i/>
          <w:color w:val="010205"/>
          <w:sz w:val="24"/>
          <w:szCs w:val="24"/>
        </w:rPr>
        <w:t xml:space="preserve"> </w:t>
      </w:r>
      <w:r>
        <w:rPr>
          <w:rFonts w:ascii="Times New Roman" w:hAnsi="Times New Roman" w:cs="Times New Roman"/>
          <w:color w:val="010205"/>
          <w:sz w:val="24"/>
          <w:szCs w:val="24"/>
        </w:rPr>
        <w:t xml:space="preserve">pada PT. Bank Bjb Syariah periode tahun 2010 hingga 2015 terus mengalami kenaikan setiap tahunnya. Ini dikarenakan semakin meningkatnya minat masyarakat akan pembiayaan Kepemilikan Rumah (KPR) terutama dengan akad </w:t>
      </w:r>
      <w:r w:rsidRPr="008817C9">
        <w:rPr>
          <w:rFonts w:ascii="Times New Roman" w:hAnsi="Times New Roman" w:cs="Times New Roman"/>
          <w:i/>
          <w:color w:val="010205"/>
          <w:sz w:val="24"/>
          <w:szCs w:val="24"/>
        </w:rPr>
        <w:t>Murabahah</w:t>
      </w:r>
      <w:r>
        <w:rPr>
          <w:rFonts w:ascii="Times New Roman" w:hAnsi="Times New Roman" w:cs="Times New Roman"/>
          <w:i/>
          <w:color w:val="010205"/>
          <w:sz w:val="24"/>
          <w:szCs w:val="24"/>
        </w:rPr>
        <w:t xml:space="preserve">. </w:t>
      </w:r>
      <w:r>
        <w:rPr>
          <w:rFonts w:ascii="Times New Roman" w:hAnsi="Times New Roman" w:cs="Times New Roman"/>
          <w:color w:val="010205"/>
          <w:sz w:val="24"/>
          <w:szCs w:val="24"/>
        </w:rPr>
        <w:t xml:space="preserve">Pembiayaan Kepemilikan Rumah (KPR) </w:t>
      </w:r>
      <w:r w:rsidRPr="008817C9">
        <w:rPr>
          <w:rFonts w:ascii="Times New Roman" w:hAnsi="Times New Roman" w:cs="Times New Roman"/>
          <w:i/>
          <w:color w:val="010205"/>
          <w:sz w:val="24"/>
          <w:szCs w:val="24"/>
        </w:rPr>
        <w:t>Murabahah</w:t>
      </w:r>
      <w:r>
        <w:rPr>
          <w:rFonts w:ascii="Times New Roman" w:hAnsi="Times New Roman" w:cs="Times New Roman"/>
          <w:i/>
          <w:color w:val="010205"/>
          <w:sz w:val="24"/>
          <w:szCs w:val="24"/>
        </w:rPr>
        <w:t xml:space="preserve"> </w:t>
      </w:r>
      <w:r>
        <w:rPr>
          <w:rFonts w:ascii="Times New Roman" w:hAnsi="Times New Roman" w:cs="Times New Roman"/>
          <w:color w:val="010205"/>
          <w:sz w:val="24"/>
          <w:szCs w:val="24"/>
        </w:rPr>
        <w:t xml:space="preserve">tertinggi terjadi pada tahun 2015 sebesar 3.737.450 dan pembiayaan Kepemilikan Rumah (KPR) </w:t>
      </w:r>
      <w:r w:rsidRPr="00997D38">
        <w:rPr>
          <w:rFonts w:ascii="Times New Roman" w:hAnsi="Times New Roman" w:cs="Times New Roman"/>
          <w:i/>
          <w:color w:val="010205"/>
          <w:sz w:val="24"/>
          <w:szCs w:val="24"/>
        </w:rPr>
        <w:t>Murabahah</w:t>
      </w:r>
      <w:r>
        <w:rPr>
          <w:rFonts w:ascii="Times New Roman" w:hAnsi="Times New Roman" w:cs="Times New Roman"/>
          <w:i/>
          <w:color w:val="010205"/>
          <w:sz w:val="24"/>
          <w:szCs w:val="24"/>
        </w:rPr>
        <w:t xml:space="preserve"> </w:t>
      </w:r>
      <w:r>
        <w:rPr>
          <w:rFonts w:ascii="Times New Roman" w:hAnsi="Times New Roman" w:cs="Times New Roman"/>
          <w:color w:val="010205"/>
          <w:sz w:val="24"/>
          <w:szCs w:val="24"/>
        </w:rPr>
        <w:t>terkecil terjadi pada tahun 2010 sebesar</w:t>
      </w:r>
    </w:p>
    <w:p w:rsidR="00EB7B1E" w:rsidRDefault="00EB7B1E" w:rsidP="00AA60AA">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color w:val="010205"/>
          <w:sz w:val="24"/>
          <w:szCs w:val="24"/>
        </w:rPr>
        <w:t xml:space="preserve">765.666 dengan rata-rata pembiayaan sebesar </w:t>
      </w:r>
      <w:r>
        <w:rPr>
          <w:rFonts w:ascii="Times New Roman" w:hAnsi="Times New Roman" w:cs="Times New Roman"/>
          <w:sz w:val="24"/>
          <w:szCs w:val="24"/>
        </w:rPr>
        <w:t>1.963.836.</w:t>
      </w:r>
    </w:p>
    <w:p w:rsidR="002C3061" w:rsidRDefault="007368A3" w:rsidP="00AA60AA">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Per</w:t>
      </w:r>
      <w:r w:rsidR="00EB7B1E">
        <w:rPr>
          <w:rFonts w:ascii="Times New Roman" w:hAnsi="Times New Roman" w:cs="Times New Roman"/>
          <w:sz w:val="24"/>
          <w:szCs w:val="24"/>
        </w:rPr>
        <w:t xml:space="preserve">sentase </w:t>
      </w:r>
      <w:r w:rsidR="00EB7B1E" w:rsidRPr="00EB7B1E">
        <w:rPr>
          <w:rFonts w:ascii="Times New Roman" w:hAnsi="Times New Roman" w:cs="Times New Roman"/>
          <w:i/>
          <w:sz w:val="24"/>
          <w:szCs w:val="24"/>
        </w:rPr>
        <w:t>Non Performing Financing</w:t>
      </w:r>
      <w:r w:rsidR="00EB7B1E">
        <w:rPr>
          <w:rFonts w:ascii="Times New Roman" w:hAnsi="Times New Roman" w:cs="Times New Roman"/>
          <w:sz w:val="24"/>
          <w:szCs w:val="24"/>
        </w:rPr>
        <w:t xml:space="preserve"> (NPF) pada PT. Bank Bjb Syariah periode 2011 hingga 2015 mengalami fluktuasi cenderung meningkat hal ini disebabkan kurangnya pengawasan pihak bank terhadap pemberian pembiayaan kepada nasabah sehingga pembiayaan bermasalah semakin meningkat. Nila</w:t>
      </w:r>
      <w:r>
        <w:rPr>
          <w:rFonts w:ascii="Times New Roman" w:hAnsi="Times New Roman" w:cs="Times New Roman"/>
          <w:sz w:val="24"/>
          <w:szCs w:val="24"/>
          <w:lang w:val="en-US"/>
        </w:rPr>
        <w:t>i</w:t>
      </w:r>
      <w:r w:rsidR="00EB7B1E">
        <w:rPr>
          <w:rFonts w:ascii="Times New Roman" w:hAnsi="Times New Roman" w:cs="Times New Roman"/>
          <w:sz w:val="24"/>
          <w:szCs w:val="24"/>
        </w:rPr>
        <w:t xml:space="preserve"> terkecil yang diperoleh PT. Bank Bjb Syariah selama periode 2010 hingga 2015 yaitu terjadi pada tahun 2011</w:t>
      </w:r>
      <w:r w:rsidR="002C3061">
        <w:rPr>
          <w:rFonts w:ascii="Times New Roman" w:hAnsi="Times New Roman" w:cs="Times New Roman"/>
          <w:sz w:val="24"/>
          <w:szCs w:val="24"/>
        </w:rPr>
        <w:t xml:space="preserve"> </w:t>
      </w:r>
      <w:r>
        <w:rPr>
          <w:rFonts w:ascii="Times New Roman" w:hAnsi="Times New Roman" w:cs="Times New Roman"/>
          <w:sz w:val="24"/>
          <w:szCs w:val="24"/>
        </w:rPr>
        <w:t>sebesar 0,41%. Dengan jumlah per</w:t>
      </w:r>
      <w:r w:rsidR="002C3061">
        <w:rPr>
          <w:rFonts w:ascii="Times New Roman" w:hAnsi="Times New Roman" w:cs="Times New Roman"/>
          <w:sz w:val="24"/>
          <w:szCs w:val="24"/>
        </w:rPr>
        <w:t xml:space="preserve">sentase tersebut menunjukan bahwa PT. Bank Bjb Syariah dalam menjalankan kegiatan operasinya cukup efektif dan efisien dibandingkan dengan periode tahun 2015 karena NPF terbesar terjadi pada tahun tersebut sebesar 4,45% dengan nilai rata-rata NPF sebesar 2% dan ini masih dibawah 5% sehingga dapat </w:t>
      </w:r>
      <w:r w:rsidR="002C3061">
        <w:rPr>
          <w:rFonts w:ascii="Times New Roman" w:hAnsi="Times New Roman" w:cs="Times New Roman"/>
          <w:sz w:val="24"/>
          <w:szCs w:val="24"/>
        </w:rPr>
        <w:lastRenderedPageBreak/>
        <w:t>dikatakan bahwa PT. Bank Bjb Syariah memiliki tingkat kesehatan bank yang</w:t>
      </w:r>
      <w:r w:rsidR="00172723">
        <w:rPr>
          <w:rFonts w:ascii="Times New Roman" w:hAnsi="Times New Roman" w:cs="Times New Roman"/>
          <w:sz w:val="24"/>
          <w:szCs w:val="24"/>
          <w:lang w:val="en-US"/>
        </w:rPr>
        <w:t xml:space="preserve"> sangat</w:t>
      </w:r>
      <w:r w:rsidR="002C3061">
        <w:rPr>
          <w:rFonts w:ascii="Times New Roman" w:hAnsi="Times New Roman" w:cs="Times New Roman"/>
          <w:sz w:val="24"/>
          <w:szCs w:val="24"/>
        </w:rPr>
        <w:t xml:space="preserve"> baik.</w:t>
      </w:r>
    </w:p>
    <w:p w:rsidR="002C3061" w:rsidRPr="006622CD" w:rsidRDefault="002C3061" w:rsidP="00EB7B1E">
      <w:pPr>
        <w:autoSpaceDE w:val="0"/>
        <w:autoSpaceDN w:val="0"/>
        <w:adjustRightInd w:val="0"/>
        <w:spacing w:after="0" w:line="320" w:lineRule="atLeast"/>
        <w:jc w:val="both"/>
        <w:rPr>
          <w:rFonts w:ascii="Times New Roman" w:hAnsi="Times New Roman" w:cs="Times New Roman"/>
          <w:sz w:val="24"/>
          <w:szCs w:val="24"/>
          <w:lang w:val="en-US"/>
        </w:rPr>
      </w:pPr>
    </w:p>
    <w:p w:rsidR="002C3061" w:rsidRDefault="002C3061" w:rsidP="003B77E2">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4.3.2</w:t>
      </w:r>
      <w:r>
        <w:rPr>
          <w:rFonts w:ascii="Times New Roman" w:hAnsi="Times New Roman" w:cs="Times New Roman"/>
          <w:b/>
          <w:sz w:val="24"/>
          <w:szCs w:val="24"/>
        </w:rPr>
        <w:tab/>
        <w:t>Perkembangan Profitabilitas (ROA) Pada PT. Bank Bjb Syariah</w:t>
      </w:r>
    </w:p>
    <w:p w:rsidR="00EB7B1E" w:rsidRDefault="002C3061" w:rsidP="003B77E2">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100DDE">
        <w:rPr>
          <w:rFonts w:ascii="Times New Roman" w:hAnsi="Times New Roman" w:cs="Times New Roman"/>
          <w:sz w:val="24"/>
          <w:szCs w:val="24"/>
        </w:rPr>
        <w:t>Per</w:t>
      </w:r>
      <w:r>
        <w:rPr>
          <w:rFonts w:ascii="Times New Roman" w:hAnsi="Times New Roman" w:cs="Times New Roman"/>
          <w:sz w:val="24"/>
          <w:szCs w:val="24"/>
        </w:rPr>
        <w:t>sentase Profitabilitas (ROA) pada PT. Bank Bjb Syariah periode 2010 hingga 2015 mengalami fluktuasi cenderung menurun hal ini disebabka</w:t>
      </w:r>
      <w:r w:rsidR="00100DDE">
        <w:rPr>
          <w:rFonts w:ascii="Times New Roman" w:hAnsi="Times New Roman" w:cs="Times New Roman"/>
          <w:sz w:val="24"/>
          <w:szCs w:val="24"/>
        </w:rPr>
        <w:t>n terus meningkatnya tingkat per</w:t>
      </w:r>
      <w:r>
        <w:rPr>
          <w:rFonts w:ascii="Times New Roman" w:hAnsi="Times New Roman" w:cs="Times New Roman"/>
          <w:sz w:val="24"/>
          <w:szCs w:val="24"/>
        </w:rPr>
        <w:t>sentase NPF yang memberikan dampak penurunan terhadap ROA dan juga disebabkan faktor-faktor lainnya. Nilai ROA terbesar</w:t>
      </w:r>
      <w:r>
        <w:rPr>
          <w:rFonts w:ascii="Times New Roman" w:hAnsi="Times New Roman" w:cs="Times New Roman"/>
          <w:b/>
          <w:sz w:val="24"/>
          <w:szCs w:val="24"/>
        </w:rPr>
        <w:t xml:space="preserve"> </w:t>
      </w:r>
      <w:r>
        <w:rPr>
          <w:rFonts w:ascii="Times New Roman" w:hAnsi="Times New Roman" w:cs="Times New Roman"/>
          <w:sz w:val="24"/>
          <w:szCs w:val="24"/>
        </w:rPr>
        <w:t xml:space="preserve"> pada PT. Bank Bjb Syariah Periode 2010-2015 terjadi pada tahun 2011 yaitu sebesar 1,23%. Dari data diatas juga dapat diketahui tingkat </w:t>
      </w:r>
      <w:r w:rsidRPr="002C3061">
        <w:rPr>
          <w:rFonts w:ascii="Times New Roman" w:hAnsi="Times New Roman" w:cs="Times New Roman"/>
          <w:i/>
          <w:sz w:val="24"/>
          <w:szCs w:val="24"/>
        </w:rPr>
        <w:t>Return On Assert</w:t>
      </w:r>
      <w:r>
        <w:rPr>
          <w:rFonts w:ascii="Times New Roman" w:hAnsi="Times New Roman" w:cs="Times New Roman"/>
          <w:sz w:val="24"/>
          <w:szCs w:val="24"/>
        </w:rPr>
        <w:t xml:space="preserve"> (ROA) terendah terjadi pada tahun 2015 yaitu sebesar 0,25%. Dengan rata-rata nilai ROA selama periode 2010 hingga 2015 yaitu sebesar 0,53%</w:t>
      </w:r>
      <w:r w:rsidR="0039437C">
        <w:rPr>
          <w:rFonts w:ascii="Times New Roman" w:hAnsi="Times New Roman" w:cs="Times New Roman"/>
          <w:sz w:val="24"/>
          <w:szCs w:val="24"/>
        </w:rPr>
        <w:t>. Berdasarkan Surat Edaran Bank Indonesia No.9/24/DPbS Tahun 2007 bank dikatakan sehat apabila ROA &gt;1,5% sedangkan rata-rata ROA pada PT. Bank Bjb Syariah yaitu sebesar 0,53% dan dapat dikatakan bahwa kinerja PT. Bank Syariah cukup sehat atau cukup baik.</w:t>
      </w:r>
    </w:p>
    <w:p w:rsidR="0039437C" w:rsidRPr="006622CD" w:rsidRDefault="0039437C" w:rsidP="00EB7B1E">
      <w:pPr>
        <w:autoSpaceDE w:val="0"/>
        <w:autoSpaceDN w:val="0"/>
        <w:adjustRightInd w:val="0"/>
        <w:spacing w:after="0" w:line="320" w:lineRule="atLeast"/>
        <w:jc w:val="both"/>
        <w:rPr>
          <w:rFonts w:ascii="Times New Roman" w:hAnsi="Times New Roman" w:cs="Times New Roman"/>
          <w:sz w:val="24"/>
          <w:szCs w:val="24"/>
          <w:lang w:val="en-US"/>
        </w:rPr>
      </w:pPr>
    </w:p>
    <w:p w:rsidR="0039437C" w:rsidRDefault="0039437C" w:rsidP="003B77E2">
      <w:pPr>
        <w:autoSpaceDE w:val="0"/>
        <w:autoSpaceDN w:val="0"/>
        <w:adjustRightInd w:val="0"/>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4.3.3</w:t>
      </w:r>
      <w:r>
        <w:rPr>
          <w:rFonts w:ascii="Times New Roman" w:hAnsi="Times New Roman" w:cs="Times New Roman"/>
          <w:b/>
          <w:sz w:val="24"/>
          <w:szCs w:val="24"/>
        </w:rPr>
        <w:tab/>
        <w:t xml:space="preserve">Pengaruh Pembiayaan Kepemilikan Rumah (KPR) </w:t>
      </w:r>
      <w:r w:rsidRPr="0039437C">
        <w:rPr>
          <w:rFonts w:ascii="Times New Roman" w:hAnsi="Times New Roman" w:cs="Times New Roman"/>
          <w:b/>
          <w:i/>
          <w:sz w:val="24"/>
          <w:szCs w:val="24"/>
        </w:rPr>
        <w:t>Murabahah</w:t>
      </w:r>
      <w:r>
        <w:rPr>
          <w:rFonts w:ascii="Times New Roman" w:hAnsi="Times New Roman" w:cs="Times New Roman"/>
          <w:b/>
          <w:sz w:val="24"/>
          <w:szCs w:val="24"/>
        </w:rPr>
        <w:t xml:space="preserve"> dan NPF Terhadap Profitabilitas (ROA) Pada PT. Bank Bjb Syariah Tahun 2010-2015</w:t>
      </w:r>
    </w:p>
    <w:p w:rsidR="00537527" w:rsidRDefault="00537527" w:rsidP="003B77E2">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Setelah melakukan penelitian dan memperoleh data yang diperlukan, maka </w:t>
      </w:r>
    </w:p>
    <w:p w:rsidR="00537527" w:rsidRDefault="00537527" w:rsidP="003B77E2">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dilakukan pengujian hipotesis yang telah diajukan. Hipotesis yang diajukan adalah “Pembiayaan Kepemilikan Rumah (KPR) </w:t>
      </w:r>
      <w:r w:rsidRPr="00537527">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dan NPF secara simultan berpengaruh terhadap Profitabilitas (ROA) pada PT. Bank Bjb Syariah.” Dalam pengujian hipotesis dilakukan serangkaian langkah-langkah uji statistik yaitu uji regresi berganda, uji koefisien korelasi dan uji determinasi.</w:t>
      </w:r>
    </w:p>
    <w:p w:rsidR="006622CD" w:rsidRDefault="00537527" w:rsidP="00A9405D">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r>
    </w:p>
    <w:p w:rsidR="00537527" w:rsidRDefault="00537527" w:rsidP="00A9405D">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Dari tabel uji regresi berganda maka diperoleh regresi berganda sebagai berikut:</w:t>
      </w:r>
    </w:p>
    <w:p w:rsidR="00D62DD0" w:rsidRDefault="000C01A7" w:rsidP="006622CD">
      <w:pPr>
        <w:spacing w:after="0" w:line="480" w:lineRule="auto"/>
        <w:jc w:val="center"/>
        <w:rPr>
          <w:rFonts w:ascii="Times New Roman" w:hAnsi="Times New Roman" w:cs="Times New Roman"/>
          <w:sz w:val="24"/>
          <w:szCs w:val="24"/>
          <w:vertAlign w:val="subscript"/>
        </w:rPr>
      </w:pPr>
      <w:r>
        <w:rPr>
          <w:rFonts w:ascii="Times New Roman" w:hAnsi="Times New Roman" w:cs="Times New Roman"/>
          <w:sz w:val="24"/>
          <w:szCs w:val="24"/>
        </w:rPr>
        <w:t>ROA = 1,006 + (-0,</w:t>
      </w:r>
      <w:r w:rsidR="00D62DD0">
        <w:rPr>
          <w:rFonts w:ascii="Times New Roman" w:hAnsi="Times New Roman" w:cs="Times New Roman"/>
          <w:sz w:val="24"/>
          <w:szCs w:val="24"/>
        </w:rPr>
        <w:t>191X</w:t>
      </w:r>
      <w:r w:rsidR="00D62DD0">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00D62DD0">
        <w:rPr>
          <w:rFonts w:ascii="Times New Roman" w:hAnsi="Times New Roman" w:cs="Times New Roman"/>
          <w:sz w:val="24"/>
          <w:szCs w:val="24"/>
        </w:rPr>
        <w:t>-0,174X</w:t>
      </w:r>
      <w:r w:rsidR="00D62DD0">
        <w:rPr>
          <w:rFonts w:ascii="Times New Roman" w:hAnsi="Times New Roman" w:cs="Times New Roman"/>
          <w:sz w:val="24"/>
          <w:szCs w:val="24"/>
          <w:vertAlign w:val="subscript"/>
        </w:rPr>
        <w:t>2</w:t>
      </w:r>
    </w:p>
    <w:p w:rsidR="00D62DD0" w:rsidRDefault="00D62DD0" w:rsidP="00D62DD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Dari persamaan regresi berganda diatas, diketahui apabila nilai Pembiayaan Kepemilikan Rumah (KPR) </w:t>
      </w:r>
      <w:r w:rsidRPr="00D62DD0">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 dan NPF (X</w:t>
      </w:r>
      <w:r>
        <w:rPr>
          <w:rFonts w:ascii="Times New Roman" w:hAnsi="Times New Roman" w:cs="Times New Roman"/>
          <w:sz w:val="24"/>
          <w:szCs w:val="24"/>
          <w:vertAlign w:val="subscript"/>
        </w:rPr>
        <w:t>2</w:t>
      </w:r>
      <w:r>
        <w:rPr>
          <w:rFonts w:ascii="Times New Roman" w:hAnsi="Times New Roman" w:cs="Times New Roman"/>
          <w:sz w:val="24"/>
          <w:szCs w:val="24"/>
        </w:rPr>
        <w:t>) adalah nol maka Profitabilitas (ROA) yang diberikan sebesar 1,006 (nilai konstan), dengan asumsi faktor-faktor yang mempengaruhinya tetap. Selain itu, Pembiayaan Kepemilikan Rumah (KPR</w:t>
      </w:r>
      <w:r w:rsidRPr="00D62DD0">
        <w:rPr>
          <w:rFonts w:ascii="Times New Roman" w:hAnsi="Times New Roman" w:cs="Times New Roman"/>
          <w:sz w:val="24"/>
          <w:szCs w:val="24"/>
        </w:rPr>
        <w:t>)</w:t>
      </w:r>
      <w:r w:rsidRPr="00D62DD0">
        <w:rPr>
          <w:rFonts w:ascii="Times New Roman" w:hAnsi="Times New Roman" w:cs="Times New Roman"/>
          <w:i/>
          <w:sz w:val="24"/>
          <w:szCs w:val="24"/>
        </w:rPr>
        <w:t xml:space="preserve"> Murabahah</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 dan NPF (X</w:t>
      </w:r>
      <w:r>
        <w:rPr>
          <w:rFonts w:ascii="Times New Roman" w:hAnsi="Times New Roman" w:cs="Times New Roman"/>
          <w:sz w:val="24"/>
          <w:szCs w:val="24"/>
          <w:vertAlign w:val="subscript"/>
        </w:rPr>
        <w:t>2</w:t>
      </w:r>
      <w:r>
        <w:rPr>
          <w:rFonts w:ascii="Times New Roman" w:hAnsi="Times New Roman" w:cs="Times New Roman"/>
          <w:sz w:val="24"/>
          <w:szCs w:val="24"/>
        </w:rPr>
        <w:t>) berpengaruh negatif terhadap Profitabilitas (ROA) yang diperoleh, dengan nilai koefisien regres</w:t>
      </w:r>
      <w:r w:rsidR="000C01A7">
        <w:rPr>
          <w:rFonts w:ascii="Times New Roman" w:hAnsi="Times New Roman" w:cs="Times New Roman"/>
          <w:sz w:val="24"/>
          <w:szCs w:val="24"/>
        </w:rPr>
        <w:t>i masing-masing sebesar -0,</w:t>
      </w:r>
      <w:r>
        <w:rPr>
          <w:rFonts w:ascii="Times New Roman" w:hAnsi="Times New Roman" w:cs="Times New Roman"/>
          <w:sz w:val="24"/>
          <w:szCs w:val="24"/>
        </w:rPr>
        <w:t>191 dan -0,174.</w:t>
      </w:r>
    </w:p>
    <w:p w:rsidR="00D62DD0" w:rsidRDefault="00D62DD0" w:rsidP="00D62DD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Sedangkan berdasarkan hasil uji koefisien determinasi (R-Square) menunjukan besarnya Pembiayaan Kepemilikan Rumah (KPR) </w:t>
      </w:r>
      <w:r w:rsidRPr="00D62DD0">
        <w:rPr>
          <w:rFonts w:ascii="Times New Roman" w:hAnsi="Times New Roman" w:cs="Times New Roman"/>
          <w:i/>
          <w:sz w:val="24"/>
          <w:szCs w:val="24"/>
        </w:rPr>
        <w:t>Murabahah</w:t>
      </w:r>
      <w:r>
        <w:rPr>
          <w:rFonts w:ascii="Times New Roman" w:hAnsi="Times New Roman" w:cs="Times New Roman"/>
          <w:i/>
          <w:sz w:val="24"/>
          <w:szCs w:val="24"/>
        </w:rPr>
        <w:t xml:space="preserve"> </w:t>
      </w:r>
      <w:r w:rsidR="00BF17AE">
        <w:rPr>
          <w:rFonts w:ascii="Times New Roman" w:hAnsi="Times New Roman" w:cs="Times New Roman"/>
          <w:sz w:val="24"/>
          <w:szCs w:val="24"/>
        </w:rPr>
        <w:t>dan NPF terhadap Profitabilitas (ROA) y</w:t>
      </w:r>
      <w:r w:rsidR="00674680">
        <w:rPr>
          <w:rFonts w:ascii="Times New Roman" w:hAnsi="Times New Roman" w:cs="Times New Roman"/>
          <w:sz w:val="24"/>
          <w:szCs w:val="24"/>
        </w:rPr>
        <w:t>ang diperoleh yaitu sebesar 0,</w:t>
      </w:r>
      <w:r w:rsidR="00BF17AE">
        <w:rPr>
          <w:rFonts w:ascii="Times New Roman" w:hAnsi="Times New Roman" w:cs="Times New Roman"/>
          <w:sz w:val="24"/>
          <w:szCs w:val="24"/>
        </w:rPr>
        <w:t>5</w:t>
      </w:r>
      <w:r w:rsidR="00674680">
        <w:rPr>
          <w:rFonts w:ascii="Times New Roman" w:hAnsi="Times New Roman" w:cs="Times New Roman"/>
          <w:sz w:val="24"/>
          <w:szCs w:val="24"/>
          <w:lang w:val="en-US"/>
        </w:rPr>
        <w:t>53</w:t>
      </w:r>
      <w:r w:rsidR="00674680">
        <w:rPr>
          <w:rFonts w:ascii="Times New Roman" w:hAnsi="Times New Roman" w:cs="Times New Roman"/>
          <w:sz w:val="24"/>
          <w:szCs w:val="24"/>
        </w:rPr>
        <w:t xml:space="preserve"> atau </w:t>
      </w:r>
      <w:r w:rsidR="00674680">
        <w:rPr>
          <w:rFonts w:ascii="Times New Roman" w:hAnsi="Times New Roman" w:cs="Times New Roman"/>
          <w:sz w:val="24"/>
          <w:szCs w:val="24"/>
          <w:lang w:val="en-US"/>
        </w:rPr>
        <w:t>55</w:t>
      </w:r>
      <w:r w:rsidR="00674680">
        <w:rPr>
          <w:rFonts w:ascii="Times New Roman" w:hAnsi="Times New Roman" w:cs="Times New Roman"/>
          <w:sz w:val="24"/>
          <w:szCs w:val="24"/>
        </w:rPr>
        <w:t>,</w:t>
      </w:r>
      <w:r w:rsidR="00674680">
        <w:rPr>
          <w:rFonts w:ascii="Times New Roman" w:hAnsi="Times New Roman" w:cs="Times New Roman"/>
          <w:sz w:val="24"/>
          <w:szCs w:val="24"/>
          <w:lang w:val="en-US"/>
        </w:rPr>
        <w:t>3</w:t>
      </w:r>
      <w:r w:rsidR="00674680">
        <w:rPr>
          <w:rFonts w:ascii="Times New Roman" w:hAnsi="Times New Roman" w:cs="Times New Roman"/>
          <w:sz w:val="24"/>
          <w:szCs w:val="24"/>
        </w:rPr>
        <w:t xml:space="preserve">% artinya bahwa </w:t>
      </w:r>
      <w:r w:rsidR="00674680">
        <w:rPr>
          <w:rFonts w:ascii="Times New Roman" w:hAnsi="Times New Roman" w:cs="Times New Roman"/>
          <w:sz w:val="24"/>
          <w:szCs w:val="24"/>
          <w:lang w:val="en-US"/>
        </w:rPr>
        <w:t>55,3</w:t>
      </w:r>
      <w:r w:rsidR="00BF17AE">
        <w:rPr>
          <w:rFonts w:ascii="Times New Roman" w:hAnsi="Times New Roman" w:cs="Times New Roman"/>
          <w:sz w:val="24"/>
          <w:szCs w:val="24"/>
        </w:rPr>
        <w:t xml:space="preserve">% Profitabilitas (ROA) yang diperoleh dipengaruhi oleh pembiayaan Kepemilikan Rumah (KPR) </w:t>
      </w:r>
      <w:r w:rsidR="00BF17AE">
        <w:rPr>
          <w:rFonts w:ascii="Times New Roman" w:hAnsi="Times New Roman" w:cs="Times New Roman"/>
          <w:i/>
          <w:sz w:val="24"/>
          <w:szCs w:val="24"/>
        </w:rPr>
        <w:t>Murabahah</w:t>
      </w:r>
      <w:r w:rsidR="00BF17AE">
        <w:rPr>
          <w:rFonts w:ascii="Times New Roman" w:hAnsi="Times New Roman" w:cs="Times New Roman"/>
          <w:sz w:val="24"/>
          <w:szCs w:val="24"/>
        </w:rPr>
        <w:t xml:space="preserve"> dan N</w:t>
      </w:r>
      <w:r w:rsidR="00674680">
        <w:rPr>
          <w:rFonts w:ascii="Times New Roman" w:hAnsi="Times New Roman" w:cs="Times New Roman"/>
          <w:sz w:val="24"/>
          <w:szCs w:val="24"/>
        </w:rPr>
        <w:t xml:space="preserve">PF. Sedangkan sisanya sebesar </w:t>
      </w:r>
      <w:r w:rsidR="00674680">
        <w:rPr>
          <w:rFonts w:ascii="Times New Roman" w:hAnsi="Times New Roman" w:cs="Times New Roman"/>
          <w:sz w:val="24"/>
          <w:szCs w:val="24"/>
          <w:lang w:val="en-US"/>
        </w:rPr>
        <w:t>44</w:t>
      </w:r>
      <w:r w:rsidR="00674680">
        <w:rPr>
          <w:rFonts w:ascii="Times New Roman" w:hAnsi="Times New Roman" w:cs="Times New Roman"/>
          <w:sz w:val="24"/>
          <w:szCs w:val="24"/>
        </w:rPr>
        <w:t>,</w:t>
      </w:r>
      <w:r w:rsidR="00674680">
        <w:rPr>
          <w:rFonts w:ascii="Times New Roman" w:hAnsi="Times New Roman" w:cs="Times New Roman"/>
          <w:sz w:val="24"/>
          <w:szCs w:val="24"/>
          <w:lang w:val="en-US"/>
        </w:rPr>
        <w:t>7</w:t>
      </w:r>
      <w:r w:rsidR="00BF17AE">
        <w:rPr>
          <w:rFonts w:ascii="Times New Roman" w:hAnsi="Times New Roman" w:cs="Times New Roman"/>
          <w:sz w:val="24"/>
          <w:szCs w:val="24"/>
        </w:rPr>
        <w:t xml:space="preserve">% Profitabilitas (ROA) dipengaruhi oleh faktor lain. Sehingga dapat diartikan bahwa Pembiayaan Kepemilikan Rumah (KPR) </w:t>
      </w:r>
      <w:r w:rsidR="00BF17AE" w:rsidRPr="00BF17AE">
        <w:rPr>
          <w:rFonts w:ascii="Times New Roman" w:hAnsi="Times New Roman" w:cs="Times New Roman"/>
          <w:i/>
          <w:sz w:val="24"/>
          <w:szCs w:val="24"/>
        </w:rPr>
        <w:t>Murabahah</w:t>
      </w:r>
      <w:r w:rsidR="00BF17AE">
        <w:rPr>
          <w:rFonts w:ascii="Times New Roman" w:hAnsi="Times New Roman" w:cs="Times New Roman"/>
          <w:i/>
          <w:sz w:val="24"/>
          <w:szCs w:val="24"/>
        </w:rPr>
        <w:t xml:space="preserve"> </w:t>
      </w:r>
      <w:r w:rsidR="00BF17AE">
        <w:rPr>
          <w:rFonts w:ascii="Times New Roman" w:hAnsi="Times New Roman" w:cs="Times New Roman"/>
          <w:sz w:val="24"/>
          <w:szCs w:val="24"/>
        </w:rPr>
        <w:t>mer</w:t>
      </w:r>
      <w:r w:rsidR="00674680">
        <w:rPr>
          <w:rFonts w:ascii="Times New Roman" w:hAnsi="Times New Roman" w:cs="Times New Roman"/>
          <w:sz w:val="24"/>
          <w:szCs w:val="24"/>
        </w:rPr>
        <w:t>upakan faktor yang</w:t>
      </w:r>
      <w:r w:rsidR="00BF17AE">
        <w:rPr>
          <w:rFonts w:ascii="Times New Roman" w:hAnsi="Times New Roman" w:cs="Times New Roman"/>
          <w:sz w:val="24"/>
          <w:szCs w:val="24"/>
        </w:rPr>
        <w:t xml:space="preserve"> mempengaruhi peningkatan dan penurunan Profitabilitas (ROA).</w:t>
      </w:r>
    </w:p>
    <w:p w:rsidR="008915DD" w:rsidRDefault="00BF17AE" w:rsidP="00D62DD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Hasil dari uji t (parsial) Pembiayaan Kepemilikan Rumah (KPR) </w:t>
      </w:r>
      <w:r w:rsidRPr="00BF17AE">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 &lt;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w:t>
      </w:r>
      <w:r w:rsidR="00460F7C">
        <w:rPr>
          <w:rFonts w:ascii="Times New Roman" w:hAnsi="Times New Roman" w:cs="Times New Roman"/>
          <w:sz w:val="24"/>
          <w:szCs w:val="24"/>
        </w:rPr>
        <w:t xml:space="preserve">-394 &lt; </w:t>
      </w:r>
      <w:r w:rsidR="000F622F">
        <w:rPr>
          <w:rFonts w:ascii="Times New Roman" w:hAnsi="Times New Roman" w:cs="Times New Roman"/>
          <w:sz w:val="24"/>
          <w:szCs w:val="24"/>
        </w:rPr>
        <w:t>-2,91999</w:t>
      </w:r>
      <w:r w:rsidR="008915DD">
        <w:rPr>
          <w:rFonts w:ascii="Times New Roman" w:hAnsi="Times New Roman" w:cs="Times New Roman"/>
          <w:sz w:val="24"/>
          <w:szCs w:val="24"/>
        </w:rPr>
        <w:t xml:space="preserve"> dan tingkat suignifikansi 0,720 ini berarti nilai tersebut lebih besar dari 0,05. Ini berarti pembiayaan murabahah berpengaruh terhadap profitabilitas (ROA).</w:t>
      </w:r>
      <w:r w:rsidR="00E90C08">
        <w:rPr>
          <w:rFonts w:ascii="Times New Roman" w:hAnsi="Times New Roman" w:cs="Times New Roman"/>
          <w:sz w:val="24"/>
          <w:szCs w:val="24"/>
        </w:rPr>
        <w:t xml:space="preserve"> Hasil </w:t>
      </w:r>
      <w:r w:rsidR="00CB3911">
        <w:rPr>
          <w:rFonts w:ascii="Times New Roman" w:hAnsi="Times New Roman" w:cs="Times New Roman"/>
          <w:sz w:val="24"/>
          <w:szCs w:val="24"/>
        </w:rPr>
        <w:t xml:space="preserve">penelitian ini konsisten dengan hasil yang diteliti sebelumnya oleh </w:t>
      </w:r>
      <w:r w:rsidR="000F622F">
        <w:rPr>
          <w:rFonts w:ascii="Times New Roman" w:hAnsi="Times New Roman" w:cs="Times New Roman"/>
          <w:sz w:val="24"/>
          <w:szCs w:val="24"/>
        </w:rPr>
        <w:t>Amri (2015), yang menyatakan bahwa pembiayaan murabahah berpengaruh terhadap profitabilitas (ROA).</w:t>
      </w:r>
    </w:p>
    <w:p w:rsidR="00CB75CD" w:rsidRDefault="000F622F" w:rsidP="00D62DD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Untuk NPF memiliki hasil t</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&lt; t</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dengan nilai sebesar</w:t>
      </w:r>
      <w:r w:rsidR="00CB75CD">
        <w:rPr>
          <w:rFonts w:ascii="Times New Roman" w:hAnsi="Times New Roman" w:cs="Times New Roman"/>
          <w:sz w:val="24"/>
          <w:szCs w:val="24"/>
        </w:rPr>
        <w:t xml:space="preserve"> -916 &lt; 2,91999 dan tingkat signifikansi 0,427 da</w:t>
      </w:r>
      <w:r w:rsidR="00843A15">
        <w:rPr>
          <w:rFonts w:ascii="Times New Roman" w:hAnsi="Times New Roman" w:cs="Times New Roman"/>
          <w:sz w:val="24"/>
          <w:szCs w:val="24"/>
        </w:rPr>
        <w:t>n</w:t>
      </w:r>
      <w:r w:rsidR="00CB75CD">
        <w:rPr>
          <w:rFonts w:ascii="Times New Roman" w:hAnsi="Times New Roman" w:cs="Times New Roman"/>
          <w:sz w:val="24"/>
          <w:szCs w:val="24"/>
        </w:rPr>
        <w:t xml:space="preserve"> itu berarti nilai tersebut lebih besar dari 0,05. Dapat </w:t>
      </w:r>
      <w:r w:rsidR="00CB75CD">
        <w:rPr>
          <w:rFonts w:ascii="Times New Roman" w:hAnsi="Times New Roman" w:cs="Times New Roman"/>
          <w:sz w:val="24"/>
          <w:szCs w:val="24"/>
        </w:rPr>
        <w:lastRenderedPageBreak/>
        <w:t>disimpulkan bahwa H</w:t>
      </w:r>
      <w:r w:rsidR="00CB75CD">
        <w:rPr>
          <w:rFonts w:ascii="Times New Roman" w:hAnsi="Times New Roman" w:cs="Times New Roman"/>
          <w:sz w:val="24"/>
          <w:szCs w:val="24"/>
          <w:vertAlign w:val="subscript"/>
        </w:rPr>
        <w:t>0</w:t>
      </w:r>
      <w:r w:rsidR="00CB75CD">
        <w:rPr>
          <w:rFonts w:ascii="Times New Roman" w:hAnsi="Times New Roman" w:cs="Times New Roman"/>
          <w:sz w:val="24"/>
          <w:szCs w:val="24"/>
        </w:rPr>
        <w:t xml:space="preserve"> diterima, yang berarti NPF secara parsial positif tidak berpengaruh signifikan terhadap Profitabilitas (ROA). Hasil penelitian ini sesuai dengan hasil yang diteliti sebelumnya oleh Wibowo (2013) yang menyatakan bahwa NPF tidak memiliki pengaruh langsung yang signifikan terhadap ROA.</w:t>
      </w:r>
    </w:p>
    <w:p w:rsidR="00C346FD" w:rsidRPr="00703F12" w:rsidRDefault="00CB75CD" w:rsidP="00703F1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Untuk hasil uji f didapatkan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1,858 dengan tingkat signifikansi </w:t>
      </w:r>
      <w:r w:rsidR="007E674D">
        <w:rPr>
          <w:rFonts w:ascii="Times New Roman" w:hAnsi="Times New Roman" w:cs="Times New Roman"/>
          <w:sz w:val="24"/>
          <w:szCs w:val="24"/>
        </w:rPr>
        <w:t>0,299. Dengan mengambil taraf signifikansi 5% (0,05) maka F</w:t>
      </w:r>
      <w:r w:rsidR="007E674D">
        <w:rPr>
          <w:rFonts w:ascii="Times New Roman" w:hAnsi="Times New Roman" w:cs="Times New Roman"/>
          <w:sz w:val="24"/>
          <w:szCs w:val="24"/>
          <w:vertAlign w:val="subscript"/>
        </w:rPr>
        <w:t>tabel</w:t>
      </w:r>
      <w:r w:rsidR="007E674D">
        <w:rPr>
          <w:rFonts w:ascii="Times New Roman" w:hAnsi="Times New Roman" w:cs="Times New Roman"/>
          <w:sz w:val="24"/>
          <w:szCs w:val="24"/>
        </w:rPr>
        <w:t xml:space="preserve"> sebesar 19,00 sehingga F</w:t>
      </w:r>
      <w:r w:rsidR="007E674D">
        <w:rPr>
          <w:rFonts w:ascii="Times New Roman" w:hAnsi="Times New Roman" w:cs="Times New Roman"/>
          <w:sz w:val="24"/>
          <w:szCs w:val="24"/>
          <w:vertAlign w:val="subscript"/>
        </w:rPr>
        <w:t>hitung</w:t>
      </w:r>
      <w:r w:rsidR="007E674D">
        <w:rPr>
          <w:rFonts w:ascii="Times New Roman" w:hAnsi="Times New Roman" w:cs="Times New Roman"/>
          <w:sz w:val="24"/>
          <w:szCs w:val="24"/>
        </w:rPr>
        <w:t xml:space="preserve"> </w:t>
      </w:r>
      <w:r w:rsidR="007E674D">
        <w:rPr>
          <w:rFonts w:ascii="Times New Roman" w:hAnsi="Times New Roman" w:cs="Times New Roman"/>
          <w:sz w:val="24"/>
          <w:szCs w:val="24"/>
          <w:u w:val="single"/>
        </w:rPr>
        <w:t>&lt;</w:t>
      </w:r>
      <w:r w:rsidR="007E674D">
        <w:rPr>
          <w:rFonts w:ascii="Times New Roman" w:hAnsi="Times New Roman" w:cs="Times New Roman"/>
          <w:sz w:val="24"/>
          <w:szCs w:val="24"/>
        </w:rPr>
        <w:t xml:space="preserve"> F</w:t>
      </w:r>
      <w:r w:rsidR="007E674D">
        <w:rPr>
          <w:rFonts w:ascii="Times New Roman" w:hAnsi="Times New Roman" w:cs="Times New Roman"/>
          <w:sz w:val="24"/>
          <w:szCs w:val="24"/>
          <w:vertAlign w:val="subscript"/>
        </w:rPr>
        <w:t>tabel</w:t>
      </w:r>
      <w:r w:rsidR="007E674D">
        <w:rPr>
          <w:rFonts w:ascii="Times New Roman" w:hAnsi="Times New Roman" w:cs="Times New Roman"/>
          <w:sz w:val="24"/>
          <w:szCs w:val="24"/>
        </w:rPr>
        <w:t xml:space="preserve"> (1,858 &gt; 0,05). Oleh karena itu keputusan yang diambil adalah H</w:t>
      </w:r>
      <w:r w:rsidR="007E674D">
        <w:rPr>
          <w:rFonts w:ascii="Times New Roman" w:hAnsi="Times New Roman" w:cs="Times New Roman"/>
          <w:sz w:val="24"/>
          <w:szCs w:val="24"/>
          <w:vertAlign w:val="subscript"/>
        </w:rPr>
        <w:t>0</w:t>
      </w:r>
      <w:r w:rsidR="007E674D">
        <w:rPr>
          <w:rFonts w:ascii="Times New Roman" w:hAnsi="Times New Roman" w:cs="Times New Roman"/>
          <w:sz w:val="24"/>
          <w:szCs w:val="24"/>
        </w:rPr>
        <w:t xml:space="preserve"> diterima H</w:t>
      </w:r>
      <w:r w:rsidR="007E674D">
        <w:rPr>
          <w:rFonts w:ascii="Times New Roman" w:hAnsi="Times New Roman" w:cs="Times New Roman"/>
          <w:sz w:val="24"/>
          <w:szCs w:val="24"/>
          <w:vertAlign w:val="subscript"/>
        </w:rPr>
        <w:t>1</w:t>
      </w:r>
      <w:r w:rsidR="007E674D">
        <w:rPr>
          <w:rFonts w:ascii="Times New Roman" w:hAnsi="Times New Roman" w:cs="Times New Roman"/>
          <w:sz w:val="24"/>
          <w:szCs w:val="24"/>
        </w:rPr>
        <w:t xml:space="preserve"> ditolak yang artinya Pembiayaan Kepemilikan Rumah (KPR) </w:t>
      </w:r>
      <w:r w:rsidR="007E674D" w:rsidRPr="007E674D">
        <w:rPr>
          <w:rFonts w:ascii="Times New Roman" w:hAnsi="Times New Roman" w:cs="Times New Roman"/>
          <w:i/>
          <w:sz w:val="24"/>
          <w:szCs w:val="24"/>
        </w:rPr>
        <w:t>Murabahah</w:t>
      </w:r>
      <w:r w:rsidR="000F622F">
        <w:rPr>
          <w:rFonts w:ascii="Times New Roman" w:hAnsi="Times New Roman" w:cs="Times New Roman"/>
          <w:sz w:val="24"/>
          <w:szCs w:val="24"/>
        </w:rPr>
        <w:t xml:space="preserve"> </w:t>
      </w:r>
      <w:r w:rsidR="007E674D">
        <w:rPr>
          <w:rFonts w:ascii="Times New Roman" w:hAnsi="Times New Roman" w:cs="Times New Roman"/>
          <w:sz w:val="24"/>
          <w:szCs w:val="24"/>
        </w:rPr>
        <w:t xml:space="preserve">dan NPF secara simultan tidak ada pengaruh yang signifikan terhadap Profitabilitas (ROA) pada PT. Bank Bjb Syariah. Hal ini dikarenakan jangka waktu angsuran dalam Pembiayaan Kepemilikan Rumah (KPR) </w:t>
      </w:r>
      <w:r w:rsidR="007E674D" w:rsidRPr="007E674D">
        <w:rPr>
          <w:rFonts w:ascii="Times New Roman" w:hAnsi="Times New Roman" w:cs="Times New Roman"/>
          <w:i/>
          <w:sz w:val="24"/>
          <w:szCs w:val="24"/>
        </w:rPr>
        <w:t>Murabahah</w:t>
      </w:r>
      <w:r w:rsidR="007E674D">
        <w:rPr>
          <w:rFonts w:ascii="Times New Roman" w:hAnsi="Times New Roman" w:cs="Times New Roman"/>
          <w:sz w:val="24"/>
          <w:szCs w:val="24"/>
        </w:rPr>
        <w:t xml:space="preserve"> yang relatif lama yaitu selama 15 tahun. Hal ini berarti bahwa kondisi Pembiayaan Kepemilikan Rumah (KPR) </w:t>
      </w:r>
      <w:r w:rsidR="007E674D" w:rsidRPr="007E674D">
        <w:rPr>
          <w:rFonts w:ascii="Times New Roman" w:hAnsi="Times New Roman" w:cs="Times New Roman"/>
          <w:i/>
          <w:sz w:val="24"/>
          <w:szCs w:val="24"/>
        </w:rPr>
        <w:t>Murabahah</w:t>
      </w:r>
      <w:r w:rsidR="007E674D">
        <w:rPr>
          <w:rFonts w:ascii="Times New Roman" w:hAnsi="Times New Roman" w:cs="Times New Roman"/>
          <w:i/>
          <w:sz w:val="24"/>
          <w:szCs w:val="24"/>
        </w:rPr>
        <w:t xml:space="preserve"> </w:t>
      </w:r>
      <w:r w:rsidR="007E674D">
        <w:rPr>
          <w:rFonts w:ascii="Times New Roman" w:hAnsi="Times New Roman" w:cs="Times New Roman"/>
          <w:sz w:val="24"/>
          <w:szCs w:val="24"/>
        </w:rPr>
        <w:t>dan NPF yang lebih besar dalam satu periode tidak secara langsung memberikan penurunan laba pada periode yang sama.</w:t>
      </w:r>
      <w:bookmarkEnd w:id="1"/>
    </w:p>
    <w:sectPr w:rsidR="00C346FD" w:rsidRPr="00703F12" w:rsidSect="00947DD8">
      <w:footerReference w:type="default" r:id="rId15"/>
      <w:pgSz w:w="11906" w:h="16838"/>
      <w:pgMar w:top="1276" w:right="1701" w:bottom="1701" w:left="1701" w:header="709" w:footer="709"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C7B" w:rsidRDefault="00E01C7B" w:rsidP="00FA64C8">
      <w:pPr>
        <w:spacing w:after="0" w:line="240" w:lineRule="auto"/>
      </w:pPr>
      <w:r>
        <w:separator/>
      </w:r>
    </w:p>
  </w:endnote>
  <w:endnote w:type="continuationSeparator" w:id="0">
    <w:p w:rsidR="00E01C7B" w:rsidRDefault="00E01C7B" w:rsidP="00FA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64955"/>
      <w:docPartObj>
        <w:docPartGallery w:val="Page Numbers (Bottom of Page)"/>
        <w:docPartUnique/>
      </w:docPartObj>
    </w:sdtPr>
    <w:sdtEndPr>
      <w:rPr>
        <w:noProof/>
      </w:rPr>
    </w:sdtEndPr>
    <w:sdtContent>
      <w:p w:rsidR="007C1316" w:rsidRDefault="007C1316">
        <w:pPr>
          <w:pStyle w:val="Footer"/>
          <w:jc w:val="right"/>
        </w:pPr>
        <w:r>
          <w:fldChar w:fldCharType="begin"/>
        </w:r>
        <w:r>
          <w:instrText xml:space="preserve"> PAGE   \* MERGEFORMAT </w:instrText>
        </w:r>
        <w:r>
          <w:fldChar w:fldCharType="separate"/>
        </w:r>
        <w:r w:rsidR="00E850EE">
          <w:rPr>
            <w:noProof/>
          </w:rPr>
          <w:t>86</w:t>
        </w:r>
        <w:r>
          <w:rPr>
            <w:noProof/>
          </w:rPr>
          <w:fldChar w:fldCharType="end"/>
        </w:r>
      </w:p>
    </w:sdtContent>
  </w:sdt>
  <w:p w:rsidR="007C1316" w:rsidRDefault="007C13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C7B" w:rsidRDefault="00E01C7B" w:rsidP="00FA64C8">
      <w:pPr>
        <w:spacing w:after="0" w:line="240" w:lineRule="auto"/>
      </w:pPr>
      <w:r>
        <w:separator/>
      </w:r>
    </w:p>
  </w:footnote>
  <w:footnote w:type="continuationSeparator" w:id="0">
    <w:p w:rsidR="00E01C7B" w:rsidRDefault="00E01C7B" w:rsidP="00FA64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525C"/>
    <w:multiLevelType w:val="hybridMultilevel"/>
    <w:tmpl w:val="8996A300"/>
    <w:lvl w:ilvl="0" w:tplc="1EFCE93E">
      <w:start w:val="1"/>
      <w:numFmt w:val="decimal"/>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
    <w:nsid w:val="43C17FCC"/>
    <w:multiLevelType w:val="hybridMultilevel"/>
    <w:tmpl w:val="BE72D3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58767AB"/>
    <w:multiLevelType w:val="hybridMultilevel"/>
    <w:tmpl w:val="C6F2E0C6"/>
    <w:lvl w:ilvl="0" w:tplc="DF16FD3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55BB3CA6"/>
    <w:multiLevelType w:val="hybridMultilevel"/>
    <w:tmpl w:val="8070EA9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5FB4CCA"/>
    <w:multiLevelType w:val="hybridMultilevel"/>
    <w:tmpl w:val="05525312"/>
    <w:lvl w:ilvl="0" w:tplc="9676C21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66725D2E"/>
    <w:multiLevelType w:val="hybridMultilevel"/>
    <w:tmpl w:val="986250D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67207983"/>
    <w:multiLevelType w:val="hybridMultilevel"/>
    <w:tmpl w:val="7F3221FC"/>
    <w:lvl w:ilvl="0" w:tplc="BFC09A22">
      <w:start w:val="1"/>
      <w:numFmt w:val="decimal"/>
      <w:lvlText w:val="%1."/>
      <w:lvlJc w:val="left"/>
      <w:pPr>
        <w:ind w:left="720" w:hanging="360"/>
      </w:pPr>
      <w:rPr>
        <w:rFonts w:eastAsiaTheme="minorEastAsia"/>
        <w:color w:val="00000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7CBF0A87"/>
    <w:multiLevelType w:val="hybridMultilevel"/>
    <w:tmpl w:val="B366FE9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8C1"/>
    <w:rsid w:val="000031C4"/>
    <w:rsid w:val="00035B2A"/>
    <w:rsid w:val="00045B3B"/>
    <w:rsid w:val="00084EEE"/>
    <w:rsid w:val="000B6F8D"/>
    <w:rsid w:val="000C01A7"/>
    <w:rsid w:val="000D0BB3"/>
    <w:rsid w:val="000D7BFB"/>
    <w:rsid w:val="000F622F"/>
    <w:rsid w:val="00100DDE"/>
    <w:rsid w:val="001022F5"/>
    <w:rsid w:val="001129FC"/>
    <w:rsid w:val="0011722A"/>
    <w:rsid w:val="00122798"/>
    <w:rsid w:val="00124BE0"/>
    <w:rsid w:val="00126294"/>
    <w:rsid w:val="0013302C"/>
    <w:rsid w:val="00143B4F"/>
    <w:rsid w:val="00172723"/>
    <w:rsid w:val="0018644C"/>
    <w:rsid w:val="00192376"/>
    <w:rsid w:val="001B2866"/>
    <w:rsid w:val="001B5E43"/>
    <w:rsid w:val="001D31A0"/>
    <w:rsid w:val="001E142B"/>
    <w:rsid w:val="002030F2"/>
    <w:rsid w:val="00223EC1"/>
    <w:rsid w:val="00243E39"/>
    <w:rsid w:val="002525F6"/>
    <w:rsid w:val="0026210B"/>
    <w:rsid w:val="002730FC"/>
    <w:rsid w:val="002B1C4E"/>
    <w:rsid w:val="002C3061"/>
    <w:rsid w:val="002C3826"/>
    <w:rsid w:val="002F234A"/>
    <w:rsid w:val="002F4C43"/>
    <w:rsid w:val="00311B4F"/>
    <w:rsid w:val="00345E4B"/>
    <w:rsid w:val="003823E8"/>
    <w:rsid w:val="00392474"/>
    <w:rsid w:val="0039437C"/>
    <w:rsid w:val="00394CE5"/>
    <w:rsid w:val="003B5CCB"/>
    <w:rsid w:val="003B77E2"/>
    <w:rsid w:val="003F1BD1"/>
    <w:rsid w:val="00402164"/>
    <w:rsid w:val="00407C63"/>
    <w:rsid w:val="004174DA"/>
    <w:rsid w:val="00446160"/>
    <w:rsid w:val="00460F7C"/>
    <w:rsid w:val="00463ECA"/>
    <w:rsid w:val="00481B7E"/>
    <w:rsid w:val="004838C1"/>
    <w:rsid w:val="004A2598"/>
    <w:rsid w:val="004C2033"/>
    <w:rsid w:val="004C6EF6"/>
    <w:rsid w:val="00502253"/>
    <w:rsid w:val="00533CF2"/>
    <w:rsid w:val="00535805"/>
    <w:rsid w:val="00537527"/>
    <w:rsid w:val="00540CF5"/>
    <w:rsid w:val="00551D66"/>
    <w:rsid w:val="005555E6"/>
    <w:rsid w:val="0058508E"/>
    <w:rsid w:val="00585969"/>
    <w:rsid w:val="005B2C0B"/>
    <w:rsid w:val="005B7D54"/>
    <w:rsid w:val="005C4202"/>
    <w:rsid w:val="00635658"/>
    <w:rsid w:val="00650657"/>
    <w:rsid w:val="006622CD"/>
    <w:rsid w:val="00674680"/>
    <w:rsid w:val="006B179F"/>
    <w:rsid w:val="006F1130"/>
    <w:rsid w:val="00703F12"/>
    <w:rsid w:val="007045A7"/>
    <w:rsid w:val="00721A98"/>
    <w:rsid w:val="007368A3"/>
    <w:rsid w:val="007C1316"/>
    <w:rsid w:val="007E674D"/>
    <w:rsid w:val="008050A0"/>
    <w:rsid w:val="008154F4"/>
    <w:rsid w:val="00825099"/>
    <w:rsid w:val="008270F1"/>
    <w:rsid w:val="008360C1"/>
    <w:rsid w:val="00843A15"/>
    <w:rsid w:val="00856830"/>
    <w:rsid w:val="008577B4"/>
    <w:rsid w:val="00870520"/>
    <w:rsid w:val="008817C9"/>
    <w:rsid w:val="008821F1"/>
    <w:rsid w:val="0088338F"/>
    <w:rsid w:val="0088425D"/>
    <w:rsid w:val="008915DD"/>
    <w:rsid w:val="008A6312"/>
    <w:rsid w:val="00912C50"/>
    <w:rsid w:val="00942137"/>
    <w:rsid w:val="00947DD8"/>
    <w:rsid w:val="00964E55"/>
    <w:rsid w:val="00970C85"/>
    <w:rsid w:val="009714DB"/>
    <w:rsid w:val="0099468F"/>
    <w:rsid w:val="00997D38"/>
    <w:rsid w:val="009A1188"/>
    <w:rsid w:val="009C1D47"/>
    <w:rsid w:val="009E2299"/>
    <w:rsid w:val="009E6986"/>
    <w:rsid w:val="009F58E9"/>
    <w:rsid w:val="00A00565"/>
    <w:rsid w:val="00A17DA1"/>
    <w:rsid w:val="00A21CAC"/>
    <w:rsid w:val="00A25C96"/>
    <w:rsid w:val="00A609FA"/>
    <w:rsid w:val="00A73B68"/>
    <w:rsid w:val="00A911FC"/>
    <w:rsid w:val="00A9405D"/>
    <w:rsid w:val="00A95D05"/>
    <w:rsid w:val="00AA6080"/>
    <w:rsid w:val="00AA60AA"/>
    <w:rsid w:val="00AC0F2C"/>
    <w:rsid w:val="00AC11B8"/>
    <w:rsid w:val="00AC7D93"/>
    <w:rsid w:val="00AE0C03"/>
    <w:rsid w:val="00AF0743"/>
    <w:rsid w:val="00AF4535"/>
    <w:rsid w:val="00B95142"/>
    <w:rsid w:val="00BB1784"/>
    <w:rsid w:val="00BB5B66"/>
    <w:rsid w:val="00BC74CD"/>
    <w:rsid w:val="00BE36C6"/>
    <w:rsid w:val="00BE461C"/>
    <w:rsid w:val="00BF17AE"/>
    <w:rsid w:val="00BF3166"/>
    <w:rsid w:val="00C12801"/>
    <w:rsid w:val="00C23C31"/>
    <w:rsid w:val="00C27DF5"/>
    <w:rsid w:val="00C346FD"/>
    <w:rsid w:val="00C44E90"/>
    <w:rsid w:val="00C648C2"/>
    <w:rsid w:val="00C72D31"/>
    <w:rsid w:val="00C72FCF"/>
    <w:rsid w:val="00C73DC7"/>
    <w:rsid w:val="00C7492C"/>
    <w:rsid w:val="00C903FC"/>
    <w:rsid w:val="00C90DA7"/>
    <w:rsid w:val="00CA0931"/>
    <w:rsid w:val="00CA29AC"/>
    <w:rsid w:val="00CB042E"/>
    <w:rsid w:val="00CB1958"/>
    <w:rsid w:val="00CB2071"/>
    <w:rsid w:val="00CB3911"/>
    <w:rsid w:val="00CB75CD"/>
    <w:rsid w:val="00CD2A16"/>
    <w:rsid w:val="00CD5296"/>
    <w:rsid w:val="00CE7408"/>
    <w:rsid w:val="00D01458"/>
    <w:rsid w:val="00D11C31"/>
    <w:rsid w:val="00D179E7"/>
    <w:rsid w:val="00D30122"/>
    <w:rsid w:val="00D4575F"/>
    <w:rsid w:val="00D62DD0"/>
    <w:rsid w:val="00D74617"/>
    <w:rsid w:val="00D808D6"/>
    <w:rsid w:val="00E01C7B"/>
    <w:rsid w:val="00E10CE4"/>
    <w:rsid w:val="00E41AE0"/>
    <w:rsid w:val="00E434B7"/>
    <w:rsid w:val="00E53840"/>
    <w:rsid w:val="00E56D42"/>
    <w:rsid w:val="00E84EBD"/>
    <w:rsid w:val="00E850EE"/>
    <w:rsid w:val="00E90C08"/>
    <w:rsid w:val="00EA2E52"/>
    <w:rsid w:val="00EB7B1E"/>
    <w:rsid w:val="00EF2D22"/>
    <w:rsid w:val="00F12FA8"/>
    <w:rsid w:val="00F1507D"/>
    <w:rsid w:val="00F31147"/>
    <w:rsid w:val="00F34529"/>
    <w:rsid w:val="00F5574E"/>
    <w:rsid w:val="00F639E6"/>
    <w:rsid w:val="00F7105F"/>
    <w:rsid w:val="00FA64C8"/>
    <w:rsid w:val="00FB623E"/>
    <w:rsid w:val="00FE6B83"/>
    <w:rsid w:val="00FF596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8C1"/>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38C1"/>
    <w:rPr>
      <w:color w:val="0000FF"/>
      <w:u w:val="single"/>
    </w:rPr>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4838C1"/>
    <w:rPr>
      <w:rFonts w:ascii="Times New Roman" w:eastAsiaTheme="minorEastAsia" w:hAnsi="Times New Roman" w:cs="Times New Roman"/>
      <w:lang w:eastAsia="id-ID"/>
    </w:rPr>
  </w:style>
  <w:style w:type="paragraph" w:styleId="ListParagraph">
    <w:name w:val="List Paragraph"/>
    <w:aliases w:val="skripsi,Body Text Char1,Char Char2,List Paragraph2,List Paragraph1,spasi 2 taiiii,Body of text"/>
    <w:basedOn w:val="Normal"/>
    <w:link w:val="ListParagraphChar"/>
    <w:uiPriority w:val="34"/>
    <w:qFormat/>
    <w:rsid w:val="004838C1"/>
    <w:pPr>
      <w:ind w:left="720"/>
      <w:contextualSpacing/>
    </w:pPr>
    <w:rPr>
      <w:rFonts w:ascii="Times New Roman" w:hAnsi="Times New Roman" w:cs="Times New Roman"/>
    </w:rPr>
  </w:style>
  <w:style w:type="paragraph" w:customStyle="1" w:styleId="Default">
    <w:name w:val="Default"/>
    <w:rsid w:val="004838C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4838C1"/>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FE6B83"/>
    <w:rPr>
      <w:color w:val="808080"/>
      <w:shd w:val="clear" w:color="auto" w:fill="E6E6E6"/>
    </w:rPr>
  </w:style>
  <w:style w:type="paragraph" w:styleId="Header">
    <w:name w:val="header"/>
    <w:basedOn w:val="Normal"/>
    <w:link w:val="HeaderChar"/>
    <w:uiPriority w:val="99"/>
    <w:unhideWhenUsed/>
    <w:rsid w:val="00FA64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4C8"/>
    <w:rPr>
      <w:rFonts w:eastAsiaTheme="minorEastAsia"/>
      <w:lang w:eastAsia="id-ID"/>
    </w:rPr>
  </w:style>
  <w:style w:type="paragraph" w:styleId="Footer">
    <w:name w:val="footer"/>
    <w:basedOn w:val="Normal"/>
    <w:link w:val="FooterChar"/>
    <w:uiPriority w:val="99"/>
    <w:unhideWhenUsed/>
    <w:rsid w:val="00FA64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4C8"/>
    <w:rPr>
      <w:rFonts w:eastAsiaTheme="minorEastAsia"/>
      <w:lang w:eastAsia="id-ID"/>
    </w:rPr>
  </w:style>
  <w:style w:type="paragraph" w:styleId="BalloonText">
    <w:name w:val="Balloon Text"/>
    <w:basedOn w:val="Normal"/>
    <w:link w:val="BalloonTextChar"/>
    <w:uiPriority w:val="99"/>
    <w:semiHidden/>
    <w:unhideWhenUsed/>
    <w:rsid w:val="00E41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AE0"/>
    <w:rPr>
      <w:rFonts w:ascii="Tahoma" w:eastAsiaTheme="minorEastAsia" w:hAnsi="Tahoma" w:cs="Tahoma"/>
      <w:sz w:val="16"/>
      <w:szCs w:val="16"/>
      <w:lang w:eastAsia="id-ID"/>
    </w:rPr>
  </w:style>
  <w:style w:type="paragraph" w:styleId="NoSpacing">
    <w:name w:val="No Spacing"/>
    <w:uiPriority w:val="1"/>
    <w:qFormat/>
    <w:rsid w:val="001022F5"/>
    <w:pPr>
      <w:spacing w:after="0" w:line="240" w:lineRule="auto"/>
    </w:pPr>
    <w:rPr>
      <w:rFonts w:eastAsiaTheme="minorEastAsia"/>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8C1"/>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38C1"/>
    <w:rPr>
      <w:color w:val="0000FF"/>
      <w:u w:val="single"/>
    </w:rPr>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4838C1"/>
    <w:rPr>
      <w:rFonts w:ascii="Times New Roman" w:eastAsiaTheme="minorEastAsia" w:hAnsi="Times New Roman" w:cs="Times New Roman"/>
      <w:lang w:eastAsia="id-ID"/>
    </w:rPr>
  </w:style>
  <w:style w:type="paragraph" w:styleId="ListParagraph">
    <w:name w:val="List Paragraph"/>
    <w:aliases w:val="skripsi,Body Text Char1,Char Char2,List Paragraph2,List Paragraph1,spasi 2 taiiii,Body of text"/>
    <w:basedOn w:val="Normal"/>
    <w:link w:val="ListParagraphChar"/>
    <w:uiPriority w:val="34"/>
    <w:qFormat/>
    <w:rsid w:val="004838C1"/>
    <w:pPr>
      <w:ind w:left="720"/>
      <w:contextualSpacing/>
    </w:pPr>
    <w:rPr>
      <w:rFonts w:ascii="Times New Roman" w:hAnsi="Times New Roman" w:cs="Times New Roman"/>
    </w:rPr>
  </w:style>
  <w:style w:type="paragraph" w:customStyle="1" w:styleId="Default">
    <w:name w:val="Default"/>
    <w:rsid w:val="004838C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4838C1"/>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FE6B83"/>
    <w:rPr>
      <w:color w:val="808080"/>
      <w:shd w:val="clear" w:color="auto" w:fill="E6E6E6"/>
    </w:rPr>
  </w:style>
  <w:style w:type="paragraph" w:styleId="Header">
    <w:name w:val="header"/>
    <w:basedOn w:val="Normal"/>
    <w:link w:val="HeaderChar"/>
    <w:uiPriority w:val="99"/>
    <w:unhideWhenUsed/>
    <w:rsid w:val="00FA64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4C8"/>
    <w:rPr>
      <w:rFonts w:eastAsiaTheme="minorEastAsia"/>
      <w:lang w:eastAsia="id-ID"/>
    </w:rPr>
  </w:style>
  <w:style w:type="paragraph" w:styleId="Footer">
    <w:name w:val="footer"/>
    <w:basedOn w:val="Normal"/>
    <w:link w:val="FooterChar"/>
    <w:uiPriority w:val="99"/>
    <w:unhideWhenUsed/>
    <w:rsid w:val="00FA64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4C8"/>
    <w:rPr>
      <w:rFonts w:eastAsiaTheme="minorEastAsia"/>
      <w:lang w:eastAsia="id-ID"/>
    </w:rPr>
  </w:style>
  <w:style w:type="paragraph" w:styleId="BalloonText">
    <w:name w:val="Balloon Text"/>
    <w:basedOn w:val="Normal"/>
    <w:link w:val="BalloonTextChar"/>
    <w:uiPriority w:val="99"/>
    <w:semiHidden/>
    <w:unhideWhenUsed/>
    <w:rsid w:val="00E41A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1AE0"/>
    <w:rPr>
      <w:rFonts w:ascii="Tahoma" w:eastAsiaTheme="minorEastAsia" w:hAnsi="Tahoma" w:cs="Tahoma"/>
      <w:sz w:val="16"/>
      <w:szCs w:val="16"/>
      <w:lang w:eastAsia="id-ID"/>
    </w:rPr>
  </w:style>
  <w:style w:type="paragraph" w:styleId="NoSpacing">
    <w:name w:val="No Spacing"/>
    <w:uiPriority w:val="1"/>
    <w:qFormat/>
    <w:rsid w:val="001022F5"/>
    <w:pPr>
      <w:spacing w:after="0" w:line="240" w:lineRule="auto"/>
    </w:pPr>
    <w:rPr>
      <w:rFonts w:eastAsiaTheme="minorEastAsia"/>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77133">
      <w:bodyDiv w:val="1"/>
      <w:marLeft w:val="0"/>
      <w:marRight w:val="0"/>
      <w:marTop w:val="0"/>
      <w:marBottom w:val="0"/>
      <w:divBdr>
        <w:top w:val="none" w:sz="0" w:space="0" w:color="auto"/>
        <w:left w:val="none" w:sz="0" w:space="0" w:color="auto"/>
        <w:bottom w:val="none" w:sz="0" w:space="0" w:color="auto"/>
        <w:right w:val="none" w:sz="0" w:space="0" w:color="auto"/>
      </w:divBdr>
    </w:div>
    <w:div w:id="1349985212">
      <w:bodyDiv w:val="1"/>
      <w:marLeft w:val="0"/>
      <w:marRight w:val="0"/>
      <w:marTop w:val="0"/>
      <w:marBottom w:val="0"/>
      <w:divBdr>
        <w:top w:val="none" w:sz="0" w:space="0" w:color="auto"/>
        <w:left w:val="none" w:sz="0" w:space="0" w:color="auto"/>
        <w:bottom w:val="none" w:sz="0" w:space="0" w:color="auto"/>
        <w:right w:val="none" w:sz="0" w:space="0" w:color="auto"/>
      </w:divBdr>
    </w:div>
    <w:div w:id="1471289750">
      <w:bodyDiv w:val="1"/>
      <w:marLeft w:val="0"/>
      <w:marRight w:val="0"/>
      <w:marTop w:val="0"/>
      <w:marBottom w:val="0"/>
      <w:divBdr>
        <w:top w:val="none" w:sz="0" w:space="0" w:color="auto"/>
        <w:left w:val="none" w:sz="0" w:space="0" w:color="auto"/>
        <w:bottom w:val="none" w:sz="0" w:space="0" w:color="auto"/>
        <w:right w:val="none" w:sz="0" w:space="0" w:color="auto"/>
      </w:divBdr>
    </w:div>
    <w:div w:id="1795515697">
      <w:bodyDiv w:val="1"/>
      <w:marLeft w:val="0"/>
      <w:marRight w:val="0"/>
      <w:marTop w:val="0"/>
      <w:marBottom w:val="0"/>
      <w:divBdr>
        <w:top w:val="none" w:sz="0" w:space="0" w:color="auto"/>
        <w:left w:val="none" w:sz="0" w:space="0" w:color="auto"/>
        <w:bottom w:val="none" w:sz="0" w:space="0" w:color="auto"/>
        <w:right w:val="none" w:sz="0" w:space="0" w:color="auto"/>
      </w:divBdr>
    </w:div>
    <w:div w:id="20935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http://www.bjbsyariah.co.id" TargetMode="Externa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H:\SKRIPSI\deni%20bayu.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SKRIPSI\deni%20bayu.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SKRIPSI\deni%20bayu.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all" spc="0" baseline="0">
                <a:gradFill>
                  <a:gsLst>
                    <a:gs pos="0">
                      <a:schemeClr val="dk1">
                        <a:lumMod val="50000"/>
                        <a:lumOff val="50000"/>
                      </a:schemeClr>
                    </a:gs>
                    <a:gs pos="100000">
                      <a:schemeClr val="dk1">
                        <a:lumMod val="85000"/>
                        <a:lumOff val="15000"/>
                      </a:schemeClr>
                    </a:gs>
                  </a:gsLst>
                  <a:lin ang="5400000" scaled="0"/>
                </a:gradFill>
                <a:latin typeface="+mn-lt"/>
                <a:ea typeface="+mn-ea"/>
                <a:cs typeface="+mn-cs"/>
              </a:defRPr>
            </a:pPr>
            <a:r>
              <a:rPr lang="en-US"/>
              <a:t>Pembiayaan Kepemilikan Rumah</a:t>
            </a:r>
          </a:p>
        </c:rich>
      </c:tx>
      <c:layout/>
      <c:overlay val="0"/>
      <c:spPr>
        <a:noFill/>
        <a:ln>
          <a:noFill/>
        </a:ln>
        <a:effectLst/>
      </c:spPr>
    </c:title>
    <c:autoTitleDeleted val="0"/>
    <c:plotArea>
      <c:layout/>
      <c:lineChart>
        <c:grouping val="stacked"/>
        <c:varyColors val="0"/>
        <c:ser>
          <c:idx val="1"/>
          <c:order val="0"/>
          <c:tx>
            <c:strRef>
              <c:f>'D:\skripsi dan pkl\PKL\skripsi dan pkl\skripsi cuyyy asik2 jos\[Book1.xlsx]Sheet10'!$B$1</c:f>
              <c:strCache>
                <c:ptCount val="1"/>
                <c:pt idx="0">
                  <c:v>KPR</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'D:\skripsi dan pkl\PKL\skripsi dan pkl\skripsi cuyyy asik2 jos\[Book1.xlsx]Sheet10'!$A$3:$A$8</c:f>
              <c:numCache>
                <c:formatCode>General</c:formatCode>
                <c:ptCount val="6"/>
                <c:pt idx="0">
                  <c:v>2010</c:v>
                </c:pt>
                <c:pt idx="1">
                  <c:v>2011</c:v>
                </c:pt>
                <c:pt idx="2">
                  <c:v>2012</c:v>
                </c:pt>
                <c:pt idx="3">
                  <c:v>2013</c:v>
                </c:pt>
                <c:pt idx="4">
                  <c:v>2014</c:v>
                </c:pt>
                <c:pt idx="5">
                  <c:v>2015</c:v>
                </c:pt>
              </c:numCache>
            </c:numRef>
          </c:cat>
          <c:val>
            <c:numRef>
              <c:f>'D:\skripsi dan pkl\PKL\skripsi dan pkl\skripsi cuyyy asik2 jos\[Book1.xlsx]Sheet10'!$B$3:$B$8</c:f>
              <c:numCache>
                <c:formatCode>General</c:formatCode>
                <c:ptCount val="6"/>
                <c:pt idx="0">
                  <c:v>765666</c:v>
                </c:pt>
                <c:pt idx="1">
                  <c:v>808504</c:v>
                </c:pt>
                <c:pt idx="2">
                  <c:v>1369459</c:v>
                </c:pt>
                <c:pt idx="3">
                  <c:v>2143312</c:v>
                </c:pt>
                <c:pt idx="4">
                  <c:v>2958628</c:v>
                </c:pt>
                <c:pt idx="5">
                  <c:v>3737450</c:v>
                </c:pt>
              </c:numCache>
            </c:numRef>
          </c:val>
          <c:smooth val="0"/>
          <c:extLst xmlns:c16r2="http://schemas.microsoft.com/office/drawing/2015/06/chart">
            <c:ext xmlns:c16="http://schemas.microsoft.com/office/drawing/2014/chart" uri="{C3380CC4-5D6E-409C-BE32-E72D297353CC}">
              <c16:uniqueId val="{00000000-9B8C-46A9-89FA-B112E4ECC540}"/>
            </c:ext>
          </c:extLst>
        </c:ser>
        <c:dLbls>
          <c:dLblPos val="ctr"/>
          <c:showLegendKey val="0"/>
          <c:showVal val="1"/>
          <c:showCatName val="0"/>
          <c:showSerName val="0"/>
          <c:showPercent val="0"/>
          <c:showBubbleSize val="0"/>
        </c:dLbls>
        <c:marker val="1"/>
        <c:smooth val="0"/>
        <c:axId val="102427648"/>
        <c:axId val="117651328"/>
        <c:extLst xmlns:c16r2="http://schemas.microsoft.com/office/drawing/2015/06/chart">
          <c:ext xmlns:c15="http://schemas.microsoft.com/office/drawing/2012/chart" uri="{02D57815-91ED-43cb-92C2-25804820EDAC}">
            <c15:filteredLineSeries>
              <c15:ser>
                <c:idx val="0"/>
                <c:order val="0"/>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uri="{CE6537A1-D6FC-4f65-9D91-7224C49458BB}">
                      <c15:showLeaderLines val="1"/>
                      <c15:leaderLines>
                        <c:spPr>
                          <a:ln w="9525">
                            <a:solidFill>
                              <a:schemeClr val="dk1">
                                <a:lumMod val="35000"/>
                                <a:lumOff val="65000"/>
                              </a:schemeClr>
                            </a:solidFill>
                          </a:ln>
                          <a:effectLst/>
                        </c:spPr>
                      </c15:leaderLines>
                    </c:ext>
                  </c:extLst>
                </c:dLbls>
                <c:cat>
                  <c:numRef>
                    <c:extLst>
                      <c:ext uri="{02D57815-91ED-43cb-92C2-25804820EDAC}">
                        <c15:formulaRef>
                          <c15:sqref>[1]Sheet10!$A$3:$A$8</c15:sqref>
                        </c15:formulaRef>
                      </c:ext>
                    </c:extLst>
                    <c:numCache>
                      <c:formatCode>General</c:formatCode>
                      <c:ptCount val="6"/>
                      <c:pt idx="0">
                        <c:v>2010</c:v>
                      </c:pt>
                      <c:pt idx="1">
                        <c:v>2011</c:v>
                      </c:pt>
                      <c:pt idx="2">
                        <c:v>2012</c:v>
                      </c:pt>
                      <c:pt idx="3">
                        <c:v>2013</c:v>
                      </c:pt>
                      <c:pt idx="4">
                        <c:v>2014</c:v>
                      </c:pt>
                      <c:pt idx="5">
                        <c:v>2015</c:v>
                      </c:pt>
                    </c:numCache>
                  </c:numRef>
                </c:cat>
                <c:val>
                  <c:numRef>
                    <c:extLst>
                      <c:ext uri="{02D57815-91ED-43cb-92C2-25804820EDAC}">
                        <c15:formulaRef>
                          <c15:sqref>[1]Sheet10!$A$3:$A$8</c15:sqref>
                        </c15:formulaRef>
                      </c:ext>
                    </c:extLst>
                    <c:numCache>
                      <c:formatCode>General</c:formatCode>
                      <c:ptCount val="6"/>
                      <c:pt idx="0">
                        <c:v>2010</c:v>
                      </c:pt>
                      <c:pt idx="1">
                        <c:v>2011</c:v>
                      </c:pt>
                      <c:pt idx="2">
                        <c:v>2012</c:v>
                      </c:pt>
                      <c:pt idx="3">
                        <c:v>2013</c:v>
                      </c:pt>
                      <c:pt idx="4">
                        <c:v>2014</c:v>
                      </c:pt>
                      <c:pt idx="5">
                        <c:v>2015</c:v>
                      </c:pt>
                    </c:numCache>
                  </c:numRef>
                </c:val>
                <c:smooth val="0"/>
                <c:extLst>
                  <c:ext xmlns:c16="http://schemas.microsoft.com/office/drawing/2014/chart" uri="{C3380CC4-5D6E-409C-BE32-E72D297353CC}">
                    <c16:uniqueId val="{00000001-9B8C-46A9-89FA-B112E4ECC540}"/>
                  </c:ext>
                </c:extLst>
              </c15:ser>
            </c15:filteredLineSeries>
          </c:ext>
        </c:extLst>
      </c:lineChart>
      <c:catAx>
        <c:axId val="10242764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17651328"/>
        <c:crosses val="autoZero"/>
        <c:auto val="1"/>
        <c:lblAlgn val="ctr"/>
        <c:lblOffset val="100"/>
        <c:noMultiLvlLbl val="0"/>
      </c:catAx>
      <c:valAx>
        <c:axId val="117651328"/>
        <c:scaling>
          <c:orientation val="minMax"/>
        </c:scaling>
        <c:delete val="1"/>
        <c:axPos val="l"/>
        <c:numFmt formatCode="General" sourceLinked="1"/>
        <c:majorTickMark val="none"/>
        <c:minorTickMark val="none"/>
        <c:tickLblPos val="nextTo"/>
        <c:crossAx val="1024276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zero"/>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40" b="0" i="0" u="none" strike="noStrike" kern="1200" cap="all" spc="0" baseline="0">
              <a:gradFill>
                <a:gsLst>
                  <a:gs pos="0">
                    <a:schemeClr val="dk1">
                      <a:lumMod val="50000"/>
                      <a:lumOff val="50000"/>
                    </a:schemeClr>
                  </a:gs>
                  <a:gs pos="100000">
                    <a:schemeClr val="dk1">
                      <a:lumMod val="85000"/>
                      <a:lumOff val="15000"/>
                    </a:schemeClr>
                  </a:gs>
                </a:gsLst>
                <a:lin ang="5400000" scaled="0"/>
              </a:gradFill>
              <a:latin typeface="+mn-lt"/>
              <a:ea typeface="+mn-ea"/>
              <a:cs typeface="+mn-cs"/>
            </a:defRPr>
          </a:pPr>
          <a:endParaRPr lang="en-US"/>
        </a:p>
      </c:txPr>
    </c:title>
    <c:autoTitleDeleted val="0"/>
    <c:plotArea>
      <c:layout/>
      <c:lineChart>
        <c:grouping val="stacked"/>
        <c:varyColors val="0"/>
        <c:ser>
          <c:idx val="1"/>
          <c:order val="0"/>
          <c:tx>
            <c:v>NFP</c:v>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a:solidFill>
                        <a:schemeClr val="dk1">
                          <a:lumMod val="35000"/>
                          <a:lumOff val="65000"/>
                        </a:schemeClr>
                      </a:solidFill>
                    </a:ln>
                    <a:effectLst/>
                  </c:spPr>
                </c15:leaderLines>
              </c:ext>
            </c:extLst>
          </c:dLbls>
          <c:cat>
            <c:numRef>
              <c:f>Sheet2!$A$2:$A$7</c:f>
              <c:numCache>
                <c:formatCode>General</c:formatCode>
                <c:ptCount val="6"/>
                <c:pt idx="0">
                  <c:v>2010</c:v>
                </c:pt>
                <c:pt idx="1">
                  <c:v>2011</c:v>
                </c:pt>
                <c:pt idx="2">
                  <c:v>2012</c:v>
                </c:pt>
                <c:pt idx="3">
                  <c:v>2013</c:v>
                </c:pt>
                <c:pt idx="4">
                  <c:v>2014</c:v>
                </c:pt>
                <c:pt idx="5">
                  <c:v>2015</c:v>
                </c:pt>
              </c:numCache>
            </c:numRef>
          </c:cat>
          <c:val>
            <c:numRef>
              <c:f>Sheet2!$B$2:$B$7</c:f>
              <c:numCache>
                <c:formatCode>General</c:formatCode>
                <c:ptCount val="6"/>
                <c:pt idx="0">
                  <c:v>1.04</c:v>
                </c:pt>
                <c:pt idx="1">
                  <c:v>0.41</c:v>
                </c:pt>
                <c:pt idx="2">
                  <c:v>1.01</c:v>
                </c:pt>
                <c:pt idx="3">
                  <c:v>1.1599999999999999</c:v>
                </c:pt>
                <c:pt idx="4">
                  <c:v>3.93</c:v>
                </c:pt>
                <c:pt idx="5">
                  <c:v>4.45</c:v>
                </c:pt>
              </c:numCache>
            </c:numRef>
          </c:val>
          <c:smooth val="0"/>
          <c:extLst xmlns:c16r2="http://schemas.microsoft.com/office/drawing/2015/06/chart">
            <c:ext xmlns:c16="http://schemas.microsoft.com/office/drawing/2014/chart" uri="{C3380CC4-5D6E-409C-BE32-E72D297353CC}">
              <c16:uniqueId val="{00000000-424A-4E87-A1C4-BB629BE51AC9}"/>
            </c:ext>
          </c:extLst>
        </c:ser>
        <c:dLbls>
          <c:dLblPos val="ctr"/>
          <c:showLegendKey val="0"/>
          <c:showVal val="1"/>
          <c:showCatName val="0"/>
          <c:showSerName val="0"/>
          <c:showPercent val="0"/>
          <c:showBubbleSize val="0"/>
        </c:dLbls>
        <c:marker val="1"/>
        <c:smooth val="0"/>
        <c:axId val="117667328"/>
        <c:axId val="117682560"/>
        <c:extLst xmlns:c16r2="http://schemas.microsoft.com/office/drawing/2015/06/chart">
          <c:ext xmlns:c15="http://schemas.microsoft.com/office/drawing/2012/chart" uri="{02D57815-91ED-43cb-92C2-25804820EDAC}">
            <c15:filteredLineSeries>
              <c15:ser>
                <c:idx val="0"/>
                <c:order val="0"/>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uri="{CE6537A1-D6FC-4f65-9D91-7224C49458BB}">
                      <c15:showLeaderLines val="1"/>
                      <c15:leaderLines>
                        <c:spPr>
                          <a:ln w="9525">
                            <a:solidFill>
                              <a:schemeClr val="dk1">
                                <a:lumMod val="35000"/>
                                <a:lumOff val="65000"/>
                              </a:schemeClr>
                            </a:solidFill>
                          </a:ln>
                          <a:effectLst/>
                        </c:spPr>
                      </c15:leaderLines>
                    </c:ext>
                  </c:extLst>
                </c:dLbls>
                <c:cat>
                  <c:numRef>
                    <c:extLst>
                      <c:ext uri="{02D57815-91ED-43cb-92C2-25804820EDAC}">
                        <c15:formulaRef>
                          <c15:sqref>Sheet2!$A$2:$A$7</c15:sqref>
                        </c15:formulaRef>
                      </c:ext>
                    </c:extLst>
                    <c:numCache>
                      <c:formatCode>General</c:formatCode>
                      <c:ptCount val="6"/>
                      <c:pt idx="0">
                        <c:v>2010</c:v>
                      </c:pt>
                      <c:pt idx="1">
                        <c:v>2011</c:v>
                      </c:pt>
                      <c:pt idx="2">
                        <c:v>2012</c:v>
                      </c:pt>
                      <c:pt idx="3">
                        <c:v>2013</c:v>
                      </c:pt>
                      <c:pt idx="4">
                        <c:v>2014</c:v>
                      </c:pt>
                      <c:pt idx="5">
                        <c:v>2015</c:v>
                      </c:pt>
                    </c:numCache>
                  </c:numRef>
                </c:cat>
                <c:val>
                  <c:numRef>
                    <c:extLst>
                      <c:ext uri="{02D57815-91ED-43cb-92C2-25804820EDAC}">
                        <c15:formulaRef>
                          <c15:sqref>Sheet2!$A$2:$A$7</c15:sqref>
                        </c15:formulaRef>
                      </c:ext>
                    </c:extLst>
                    <c:numCache>
                      <c:formatCode>General</c:formatCode>
                      <c:ptCount val="6"/>
                      <c:pt idx="0">
                        <c:v>2010</c:v>
                      </c:pt>
                      <c:pt idx="1">
                        <c:v>2011</c:v>
                      </c:pt>
                      <c:pt idx="2">
                        <c:v>2012</c:v>
                      </c:pt>
                      <c:pt idx="3">
                        <c:v>2013</c:v>
                      </c:pt>
                      <c:pt idx="4">
                        <c:v>2014</c:v>
                      </c:pt>
                      <c:pt idx="5">
                        <c:v>2015</c:v>
                      </c:pt>
                    </c:numCache>
                  </c:numRef>
                </c:val>
                <c:smooth val="0"/>
                <c:extLst>
                  <c:ext xmlns:c16="http://schemas.microsoft.com/office/drawing/2014/chart" uri="{C3380CC4-5D6E-409C-BE32-E72D297353CC}">
                    <c16:uniqueId val="{00000001-424A-4E87-A1C4-BB629BE51AC9}"/>
                  </c:ext>
                </c:extLst>
              </c15:ser>
            </c15:filteredLineSeries>
          </c:ext>
        </c:extLst>
      </c:lineChart>
      <c:catAx>
        <c:axId val="11766732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17682560"/>
        <c:crosses val="autoZero"/>
        <c:auto val="1"/>
        <c:lblAlgn val="ctr"/>
        <c:lblOffset val="100"/>
        <c:noMultiLvlLbl val="0"/>
      </c:catAx>
      <c:valAx>
        <c:axId val="117682560"/>
        <c:scaling>
          <c:orientation val="minMax"/>
        </c:scaling>
        <c:delete val="1"/>
        <c:axPos val="l"/>
        <c:numFmt formatCode="General" sourceLinked="1"/>
        <c:majorTickMark val="none"/>
        <c:minorTickMark val="none"/>
        <c:tickLblPos val="nextTo"/>
        <c:crossAx val="117667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zero"/>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6094925634295702E-2"/>
          <c:y val="0.16245370370370371"/>
          <c:w val="0.88890507436570432"/>
          <c:h val="0.68071704578594339"/>
        </c:manualLayout>
      </c:layout>
      <c:lineChart>
        <c:grouping val="stacked"/>
        <c:varyColors val="0"/>
        <c:ser>
          <c:idx val="1"/>
          <c:order val="0"/>
          <c:tx>
            <c:v>ROA</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Sheet3!$A$2:$A$7</c:f>
              <c:numCache>
                <c:formatCode>General</c:formatCode>
                <c:ptCount val="6"/>
                <c:pt idx="0">
                  <c:v>2010</c:v>
                </c:pt>
                <c:pt idx="1">
                  <c:v>2011</c:v>
                </c:pt>
                <c:pt idx="2">
                  <c:v>2012</c:v>
                </c:pt>
                <c:pt idx="3">
                  <c:v>2013</c:v>
                </c:pt>
                <c:pt idx="4">
                  <c:v>2014</c:v>
                </c:pt>
                <c:pt idx="5">
                  <c:v>2015</c:v>
                </c:pt>
              </c:numCache>
            </c:numRef>
          </c:cat>
          <c:val>
            <c:numRef>
              <c:f>Sheet3!$B$2:$B$7</c:f>
              <c:numCache>
                <c:formatCode>General</c:formatCode>
                <c:ptCount val="6"/>
                <c:pt idx="0">
                  <c:v>0.72</c:v>
                </c:pt>
                <c:pt idx="1">
                  <c:v>1.23</c:v>
                </c:pt>
                <c:pt idx="2">
                  <c:v>-0.59</c:v>
                </c:pt>
                <c:pt idx="3">
                  <c:v>0.91</c:v>
                </c:pt>
                <c:pt idx="4">
                  <c:v>0.69</c:v>
                </c:pt>
                <c:pt idx="5">
                  <c:v>0.25</c:v>
                </c:pt>
              </c:numCache>
            </c:numRef>
          </c:val>
          <c:smooth val="0"/>
          <c:extLst xmlns:c16r2="http://schemas.microsoft.com/office/drawing/2015/06/chart">
            <c:ext xmlns:c16="http://schemas.microsoft.com/office/drawing/2014/chart" uri="{C3380CC4-5D6E-409C-BE32-E72D297353CC}">
              <c16:uniqueId val="{00000000-FEF7-4BCD-8EA0-09FC58845F67}"/>
            </c:ext>
          </c:extLst>
        </c:ser>
        <c:dLbls>
          <c:showLegendKey val="0"/>
          <c:showVal val="0"/>
          <c:showCatName val="0"/>
          <c:showSerName val="0"/>
          <c:showPercent val="0"/>
          <c:showBubbleSize val="0"/>
        </c:dLbls>
        <c:marker val="1"/>
        <c:smooth val="0"/>
        <c:axId val="117588352"/>
        <c:axId val="117590272"/>
        <c:extLst xmlns:c16r2="http://schemas.microsoft.com/office/drawing/2015/06/chart">
          <c:ext xmlns:c15="http://schemas.microsoft.com/office/drawing/2012/chart" uri="{02D57815-91ED-43cb-92C2-25804820EDAC}">
            <c15:filteredLineSeries>
              <c15:ser>
                <c:idx val="0"/>
                <c:order val="0"/>
                <c:tx>
                  <c:v>ROA</c:v>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c:ext uri="{02D57815-91ED-43cb-92C2-25804820EDAC}">
                        <c15:formulaRef>
                          <c15:sqref>Sheet3!$A$2:$A$7</c15:sqref>
                        </c15:formulaRef>
                      </c:ext>
                    </c:extLst>
                    <c:numCache>
                      <c:formatCode>General</c:formatCode>
                      <c:ptCount val="6"/>
                      <c:pt idx="0">
                        <c:v>2010</c:v>
                      </c:pt>
                      <c:pt idx="1">
                        <c:v>2011</c:v>
                      </c:pt>
                      <c:pt idx="2">
                        <c:v>2012</c:v>
                      </c:pt>
                      <c:pt idx="3">
                        <c:v>2013</c:v>
                      </c:pt>
                      <c:pt idx="4">
                        <c:v>2014</c:v>
                      </c:pt>
                      <c:pt idx="5">
                        <c:v>2015</c:v>
                      </c:pt>
                    </c:numCache>
                  </c:numRef>
                </c:cat>
                <c:val>
                  <c:numRef>
                    <c:extLst>
                      <c:ext uri="{02D57815-91ED-43cb-92C2-25804820EDAC}">
                        <c15:formulaRef>
                          <c15:sqref>Sheet3!$A$2:$A$7</c15:sqref>
                        </c15:formulaRef>
                      </c:ext>
                    </c:extLst>
                    <c:numCache>
                      <c:formatCode>General</c:formatCode>
                      <c:ptCount val="6"/>
                      <c:pt idx="0">
                        <c:v>2010</c:v>
                      </c:pt>
                      <c:pt idx="1">
                        <c:v>2011</c:v>
                      </c:pt>
                      <c:pt idx="2">
                        <c:v>2012</c:v>
                      </c:pt>
                      <c:pt idx="3">
                        <c:v>2013</c:v>
                      </c:pt>
                      <c:pt idx="4">
                        <c:v>2014</c:v>
                      </c:pt>
                      <c:pt idx="5">
                        <c:v>2015</c:v>
                      </c:pt>
                    </c:numCache>
                  </c:numRef>
                </c:val>
                <c:smooth val="0"/>
                <c:extLst>
                  <c:ext xmlns:c16="http://schemas.microsoft.com/office/drawing/2014/chart" uri="{C3380CC4-5D6E-409C-BE32-E72D297353CC}">
                    <c16:uniqueId val="{00000001-FEF7-4BCD-8EA0-09FC58845F67}"/>
                  </c:ext>
                </c:extLst>
              </c15:ser>
            </c15:filteredLineSeries>
          </c:ext>
        </c:extLst>
      </c:lineChart>
      <c:dateAx>
        <c:axId val="11758835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590272"/>
        <c:crosses val="autoZero"/>
        <c:auto val="0"/>
        <c:lblOffset val="100"/>
        <c:baseTimeUnit val="days"/>
      </c:dateAx>
      <c:valAx>
        <c:axId val="117590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7588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48D-BEB1-4813-BE38-3DC07210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20</Pages>
  <Words>3282</Words>
  <Characters>18713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HENDI</dc:creator>
  <cp:keywords/>
  <dc:description/>
  <cp:lastModifiedBy>pampam</cp:lastModifiedBy>
  <cp:revision>1</cp:revision>
  <cp:lastPrinted>2018-06-24T15:29:00Z</cp:lastPrinted>
  <dcterms:created xsi:type="dcterms:W3CDTF">2018-05-14T10:31:00Z</dcterms:created>
  <dcterms:modified xsi:type="dcterms:W3CDTF">2018-08-16T06:13:00Z</dcterms:modified>
</cp:coreProperties>
</file>